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宣城市信用评级报告(区域部分)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宣城经济总量列安徽省第11位，人均GDP约—万元、人均经济实力居省内中游，经济增速维持在6.00%左右、总体平稳；固定资产投资最新增速转负（-5.30%），经济动能仍有待修复。【待补充：宣城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宣城市2023、2024、2025年地区生产总值分别为1,970.04亿元、2,053.50亿元、2,148.60亿元，同比增长5.90%、5.80%、6.00%。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产业结构方面，2025年宣城市三次产业结构为8.7:43.1:48.2。【待补充：支柱产业、主要龙头企业、对外贸易等定性描述（数据库未覆盖）】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2023、2024、2025年固定资产投资增速分别为6.90%、6.50%、-5.30%，2025年社会消费品零售总额875.10亿元，进出口总额38.67亿美元。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图表：2025年安徽省各地级市主要经济指标对比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合肥市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14,210.00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2.4:36.7:60.9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977.30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芜湖市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5,402.69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439.60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滁州市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4,221.10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310.40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阜阳市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3,777.60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11.3:29.7:59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安庆市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3,306.08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210.50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马鞍山市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2,920.90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3.9:41.3:54.8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225.60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亳州市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2,621.10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173.90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宿州市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2,538.40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14:30.1:55.9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151.37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蚌埠市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2,421.10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11.7:30.3:58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190.72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六安市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2,407.30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11.9:35:53.1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184.20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宣城市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2,148.60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8.7:43.1:48.2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淮南市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1,750.10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139.00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淮北市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1,419.15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6.4:38:55.6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110.09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铜陵市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1,415.40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池州市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1,225.00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100.76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黄山市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1,204.90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7.1:31:61.9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宣城市2025年GDP总量2,148.60亿元、列全省第11位，一般公共预算收入200.10亿元、列全省第七位。整体来看，宣城市经济基本面在安徽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宣城市财政体量在安徽省处于中游，税收占比62.52%、税收质量较好，但政府性基金收入较2023年累计下降42%、土地财政贡献度弱化；2025年末宽口径债务率813.72%、处于偏高水平，已显著高于公认的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宣城市一般公共预算收入分别为197.90亿元、198.10亿元、200.10亿元，其中税收收入126.30亿元、125.10亿元、125.10亿元，税收占比维持在63.82%、63.15%、62.52%；一般公共预算支出368.40亿元、393.20亿元、377.00亿元，财政自给率53.72%、50.38%、53.08%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政府性基金收入方面，2023、2024、2025年分别为103.80亿元、88.00亿元、60.60亿元，政府性基金收入较2023年累计下降42%、土地财政贡献度弱化，反映地方综合财力对房地产周期的敞口。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图表：2023-2025年宣城市财政收入情况(单位:亿元、%)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197.90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198.10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1.01%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126.30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-0.95%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0.00%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63.82%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63.15%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62.52%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368.40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393.20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377.00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-4.12%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53.72%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50.38%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53.08%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103.80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88.00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-15.22%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-31.14%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资料来源:宣城市财政决算、企业预警通,风控信评部整理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土地市场方面，【待补充:宣城市土地出让与房地产销售数据（土地市场数据库未覆盖该市）】。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宣城市地方政府债务余额分别为676.72亿元、784.28亿元、921.50亿元，2025年末债务限额933.20亿元，债务余额控制在限额以内；城投有息债务2025年末估算余额1,364.24亿元。债务率指标看，2025年末政府债务率328.05%、城投债务率485.67%、宽口径债务率813.72%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宣城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