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淮北市信用评级报告(区域部分)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北经济总量列安徽省第13位，人均GDP约—万元、人均经济实力居省内中游，经济增速由5.40%回落至2.80%、有所放缓；固定资产投资连续负增长（最新-22.60%），经济动能仍有待修复。【待补充：淮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淮北市2023、2024、2025年地区生产总值分别为1,368.97亿元、1,405.89亿元、1,419.15亿元，同比增长5.40%、4.00%、2.80%。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产业结构方面，2025年淮北市三次产业结构为6.4:38:55.6。【待补充：支柱产业、主要龙头企业、对外贸易等定性描述（数据库未覆盖）】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2023、2024、2025年固定资产投资增速分别为3.00%、-14.30%、-22.60%，2025年社会消费品零售总额520.70亿元，进出口总额14.00亿美元。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淮北市2025年GDP总量1,419.15亿元、列全省第13位，一般公共预算收入110.09亿元、列全省第14位。整体来看，淮北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淮北市财政体量在安徽省处于中游，税收占比63.79%、税收质量较好；2025年末宽口径债务率1389.50%、处于偏高水平，已显著高于公认的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淮北市一般公共预算收入分别为104.83亿元、108.89亿元、110.09亿元，其中税收收入77.13亿元、78.10亿元、70.23亿元，税收占比维持在73.57%、71.73%、63.79%；一般公共预算支出226.99亿元、221.96亿元、227.69亿元，财政自给率46.18%、49.06%、48.35%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图表：2023-2025年淮北市财政收入情况(单位:亿元、%)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资料来源:淮北市财政决算、企业预警通,风控信评部整理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土地市场方面，【待补充:淮北市土地出让与房地产销售数据（土地市场数据库未覆盖该市）】。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淮北市地方政府债务余额分别为359.14亿元、444.22亿元、556.12亿元，2025年末债务限额560.72亿元，债务余额控制在限额以内；城投有息债务2025年末估算余额973.58亿元。债务率指标看，2025年末政府债务率505.15%、城投债务率884.35%、宽口径债务率1389.50%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淮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