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淮南市信用评级报告(区域部分)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南经济总量列安徽省第12位，人均GDP约—万元、人均经济实力居省内中游，经济增速由5.20%回落至4.60%、有所放缓；固定资产投资最新增速转负（-0.60%），经济动能仍有待修复。【待补充：淮南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淮南市2023、2024、2025年地区生产总值分别为1,659.00亿元、1,716.40亿元、1,750.10亿元，同比增长5.20%、5.00%、4.60%。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产业结构方面，2025年淮南市三次产业结构为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2023、2024、2025年固定资产投资增速分别为7.20%、7.80%、-0.60%，2025年社会消费品零售总额948.30亿元，进出口总额7.45亿美元。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淮南市2025年GDP总量1,750.10亿元、列全省第12位，一般公共预算收入139.00亿元、列全省第12位。整体来看，淮南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淮南市财政体量在安徽省处于中游，税收占比64.03%、税收质量较好，但政府性基金收入较2023年累计下降50%、土地财政贡献度弱化；2025年末宽口径债务率1157.25%、处于偏高水平，已显著高于公认的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淮南市一般公共预算收入分别为130.50亿元、135.79亿元、139.00亿元，其中税收收入95.14亿元、93.49亿元、89.00亿元，税收占比维持在72.90%、68.85%、64.03%；一般公共预算支出316.04亿元、339.61亿元、345.40亿元，财政自给率41.29%、39.98%、40.24%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政府性基金收入方面，2023、2024年分别为89.96亿元、45.24亿元，政府性基金收入较2023年累计下降50%、土地财政贡献度弱化，反映地方综合财力对房地产周期的敞口。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图表：2023-2025年淮南市财政收入情况(单位:亿元、%)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68.85%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-49.71%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资料来源:淮南市财政决算、企业预警通,风控信评部整理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土地市场方面，【待补充:淮南市土地出让与房地产销售数据（土地市场数据库未覆盖该市）】。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淮南市地方政府债务余额分别为591.31亿元、680.89亿元、782.70亿元，2025年末债务限额793.10亿元，债务余额控制在限额以内；城投有息债务2025年末估算余额825.88亿元。债务率指标看，2025年末政府债务率563.09%、城投债务率594.16%、宽口径债务率1157.25%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淮南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