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芜湖市信用评级报告(区域部分)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芜湖经济总量列安徽省第二位，人均GDP约—万元、人均经济实力居省内中游，经济增速由5.70%回升至6.30%、动能边际改善；固定资产投资连续负增长（最新-0.60%），经济动能仍有待修复。【待补充：芜湖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芜湖市2023、2024、2025年地区生产总值分别为4,859.26亿元、5,120.47亿元、5,402.69亿元，同比增长5.70%、6.40%、6.30%。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产业结构方面，2025年芜湖市三次产业结构为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2023、2024、2025年固定资产投资增速分别为-0.70%、7.00%、-0.60%，2025年社会消费品零售总额2,120.62亿元，进出口总额272.45亿美元。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芜湖市2025年GDP总量5,402.69亿元、列全省第二位，一般公共预算收入439.60亿元、列全省第二位。整体来看，芜湖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芜湖市财政体量在安徽省位居前列，税收占比71.34%、税收质量较好，但政府性基金收入较2023年累计下降18%、土地财政贡献度弱化；2025年末宽口径债务率468.59%、处于偏高水平，已显著高于公认的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芜湖市一般公共预算收入分别为414.30亿元、426.80亿元、439.60亿元，其中税收收入284.24亿元、—亿元、313.60亿元，税收占比维持在68.61%、—、71.34%；一般公共预算支出619.20亿元、631.90亿元、651.70亿元，财政自给率66.91%、67.54%、67.45%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政府性基金收入方面，2023、2024、2025年分别为185.00亿元、167.50亿元、150.90亿元，政府性基金收入较2023年累计下降18%、土地财政贡献度弱化，反映地方综合财力对房地产周期的敞口。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图表：2023-2025年芜湖市财政收入情况(单位:亿元、%)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-9.91%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资料来源:芜湖市财政决算、企业预警通,风控信评部整理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芜湖市经营性用地成交价分别为226.21亿元、239.28亿元、160.48亿元、125.40亿元、106.31亿元，2025年较2021年下降53.00%；同期平均溢价率为46.06%、10.48%、5.07%、1.05%、0.65%；成交楼面均价由1,499元/㎡降至797元/㎡、累计下降46.83%。2026年1-4月，芜湖市经营性用地累计成交55宗、规划建面359.09万㎡、成交价16.07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图表:2021-2025年芜湖市土地出让情况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1,509.12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1,499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46.06%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226.21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2,434.02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239.28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1,636.86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160.48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1,475.05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125.40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1,333.29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106.31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359.09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16.07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从房地产销售看，2021-2025年芜湖市商品住宅成交面积由374.52万㎡变动至66.60万㎡、累计下降82.2%；新房均价2025年为11,429元/㎡、较2023年高点(14,042元/㎡)累计下跌18.61%；2025年去化周期29.20个月。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芜湖市地方政府债务余额分别为1,237.31亿元、1,460.95亿元、1,710.90亿元，2025年末债务限额1,748.10亿元，债务余额控制在限额以内；城投有息债务2025年末估算余额1,076.28亿元。债务率指标看，2025年末政府债务率287.64%、城投债务率180.95%、宽口径债务率468.59%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芜湖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