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蚌埠市信用评级报告(区域部分)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蚌埠经济总量列安徽省第九位，人均GDP约—万元、人均经济实力居省内中游，经济增速维持在5.50%左右、总体平稳；固定资产投资最新增速转负（-7.70%），经济动能仍有待修复。【待补充：蚌埠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蚌埠市2023、2024、2025年地区生产总值分别为2,218.54亿元、2,313.03亿元、2,421.10亿元，同比增长5.70%、5.20%、5.50%。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产业结构方面，2025年蚌埠市三次产业结构为11.7:30.3:58。【待补充：支柱产业、主要龙头企业、对外贸易等定性描述（数据库未覆盖）】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2023、2024、2025年固定资产投资增速分别为7.20%、3.60%、-7.70%，2025年社会消费品零售总额1,450.20亿元，进出口总额22.37亿美元。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蚌埠市2025年GDP总量2,421.10亿元、列全省第九位，一般公共预算收入190.72亿元、列全省第八位。整体来看，蚌埠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蚌埠市财政体量在安徽省处于中游，税收占比—、税收占比处于一般水平，但政府性基金收入较2023年累计下降31%、土地财政贡献度弱化；2025年末宽口径债务率1105.77%、处于偏高水平，已显著高于公认的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蚌埠市一般公共预算收入分别为179.70亿元、185.10亿元、190.72亿元，其中税收收入112.76亿元、117.60亿元、—亿元，税收占比维持在62.75%、63.53%、—；一般公共预算支出369.20亿元、397.10亿元、403.02亿元，财政自给率48.67%、46.61%、47.32%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政府性基金收入方面，2023、2024、2025年分别为94.27亿元、81.65亿元、65.32亿元，政府性基金收入较2023年累计下降31%、土地财政贡献度弱化，反映地方综合财力对房地产周期的敞口。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图表：2023-2025年蚌埠市财政收入情况(单位:亿元、%)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-20.00%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资料来源:蚌埠市财政决算、企业预警通,风控信评部整理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土地市场方面，【待补充:蚌埠市土地出让与房地产销售数据（土地市场数据库未覆盖该市）】。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蚌埠市地方政府债务余额分别为738.53亿元、903.38亿元、1,049.13亿元，2025年末债务限额1,059.26亿元，债务余额控制在限额以内；城投有息债务2025年末估算余额1,828.32亿元。债务率指标看，2025年末政府债务率403.17%、城投债务率702.60%、宽口径债务率1105.77%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蚌埠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