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铜陵市信用评级报告(区域部分)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铜陵经济总量列安徽省第14位，人均GDP约—万元、人均经济实力居省内中游，经济增速由5.50%回升至6.10%、动能边际改善；固定资产投资连续负增长（最新-7.10%），经济动能仍有待修复。【待补充：铜陵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铜陵市2023、2024、2025年地区生产总值分别为1,241.76亿元、1,325.46亿元、1,415.40亿元，同比增长5.50%、6.40%、6.10%。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产业结构方面，2025年铜陵市三次产业结构为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2023、2024、2025年固定资产投资增速分别为8.20%、-7.20%、-7.10%，2025年社会消费品零售总额468.90亿元，进出口总额176.95亿美元。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铜陵市2025年GDP总量1,415.40亿元、列全省第14位，一般公共预算收入122.40亿元、列全省第13位。整体来看，铜陵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铜陵市财政体量在安徽省处于中游，税收占比71.00%、税收质量较好；2025年末宽口径债务率1157.68%、处于偏高水平，已显著高于公认的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铜陵市一般公共预算收入分别为112.10亿元、117.20亿元、122.40亿元，其中税收收入79.80亿元、82.70亿元、86.90亿元，税收占比维持在71.19%、70.56%、71.00%；一般公共预算支出213.90亿元、218.50亿元、227.40亿元，财政自给率52.41%、53.64%、53.83%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图表：2023-2025年铜陵市财政收入情况(单位:亿元、%)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资料来源:铜陵市财政决算、企业预警通,风控信评部整理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土地市场方面，【待补充:铜陵市土地出让与房地产销售数据（土地市场数据库未覆盖该市）】。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铜陵市地方政府债务余额分别为433.63亿元、499.72亿元、576.02亿元，2025年末债务限额594.88亿元，债务余额控制在限额以内；城投有息债务2025年末估算余额840.98亿元。债务率指标看，2025年末政府债务率470.60%、城投债务率687.07%、宽口径债务率1157.68%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铜陵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