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马鞍山市信用评级报告(区域部分)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马鞍山经济总量列安徽省第六位，人均GDP约—万元、人均经济实力居省内中游，经济增速维持在6.00%左右、总体平稳；固定资产投资最新增速转负（-7.70%），经济动能仍有待修复。【待补充：马鞍山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马鞍山市2023、2024、2025年地区生产总值分别为2,655.37亿元、2,784.65亿元、2,920.90亿元，同比增长5.70%、6.00%、6.00%。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产业结构方面，2025年马鞍山市三次产业结构为3.9:41.3:54.8。【待补充：支柱产业、主要龙头企业、对外贸易等定性描述（数据库未覆盖）】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2023、2024、2025年固定资产投资增速分别为7.50%、7.10%、-7.70%，2025年社会消费品零售总额1,118.44亿元，进出口总额62.87亿美元。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图表：2025年安徽省各地级市主要经济指标对比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合肥市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14,210.00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2.4:36.7:60.9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977.30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芜湖市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5,402.69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439.60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滁州市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4,221.10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310.40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阜阳市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3,777.60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11.3:29.7:59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201.00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安庆市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3,306.08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210.50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马鞍山市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2,920.90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3.9:41.3:54.8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225.60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亳州市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2,621.10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173.90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宿州市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2,538.40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14:30.1:55.9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151.37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蚌埠市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2,421.10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11.7:30.3:58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190.72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六安市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2,407.30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11.9:35:53.1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184.20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宣城市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2,148.60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8.7:43.1:48.2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淮南市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1,750.10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139.00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淮北市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1,419.15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6.4:38:55.6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110.09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铜陵市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1,415.40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122.40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池州市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1,225.00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100.76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黄山市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1,204.90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7.1:31:61.9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马鞍山市2025年GDP总量2,920.90亿元、列全省第六位，一般公共预算收入225.60亿元、列全省第四位。整体来看，马鞍山市经济基本面在安徽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马鞍山市财政体量在安徽省处于中游，税收占比63.56%、税收质量较好；2025年末宽口径债务率1001.95%、处于偏高水平，已显著高于公认的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马鞍山市一般公共预算收入分别为208.40亿元、216.84亿元、225.60亿元，其中税收收入142.30亿元、136.40亿元、143.40亿元，税收占比维持在68.28%、62.90%、63.56%；一般公共预算支出320.20亿元、367.52亿元、365.50亿元，财政自给率65.08%、59.00%、61.72%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图表：2023-2025年马鞍山市财政收入情况(单位:亿元、%)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208.40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216.84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225.60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142.30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136.40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-4.15%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143.40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5.13%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68.28%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63.56%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367.52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14.78%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365.50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-0.55%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65.08%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61.72%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资料来源:马鞍山市财政决算、企业预警通,风控信评部整理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土地市场方面，【待补充:马鞍山市土地出让与房地产销售数据（土地市场数据库未覆盖该市）】。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马鞍山市地方政府债务余额分别为833.41亿元、961.24亿元、1,118.46亿元，2025年末债务限额1,136.32亿元，债务余额控制在限额以内；城投有息债务2025年末估算余额1,141.93亿元。债务率指标看，2025年末政府债务率495.77%、城投债务率506.18%、宽口径债务率1001.95%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马鞍山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