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黄山市信用评级报告(区域部分)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黄山经济总量列安徽省第16位，人均GDP约—万元、人均经济实力居省内中游，经济增速由4.50%回升至6.40%、动能边际改善；固定资产投资连续负增长（最新-3.50%），经济动能仍有待修复。【待补充：黄山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黄山市2023、2024、2025年地区生产总值分别为1,077.02亿元、1,134.03亿元、1,204.90亿元，同比增长4.50%、5.90%、6.40%。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产业结构方面，2025年黄山市三次产业结构为7.1:31:61.9。【待补充：支柱产业、主要龙头企业、对外贸易等定性描述（数据库未覆盖）】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2023、2024、2025年固定资产投资增速分别为-10.10%、6.50%、-3.50%，2025年社会消费品零售总额568.10亿元，进出口总额12.57亿美元。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图表：2025年安徽省各地级市主要经济指标对比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合肥市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14,210.00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2.4:36.7:60.9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977.30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芜湖市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5,402.69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439.60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滁州市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4,221.10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阜阳市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3,777.60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11.3:29.7:59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安庆市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3,306.08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马鞍山市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2,920.90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3.9:41.3:54.8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225.60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亳州市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2,621.10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173.90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宿州市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2,538.40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14:30.1:55.9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151.37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蚌埠市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2,421.10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11.7:30.3:58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190.72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六安市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2,407.30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11.9:35:53.1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184.20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宣城市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2,148.60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8.7:43.1:48.2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淮南市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1,750.10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139.00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淮北市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1,419.15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6.4:38:55.6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110.09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铜陵市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1,415.40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池州市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1,225.00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100.76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黄山市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1,204.90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7.1:31:61.9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黄山市2025年GDP总量1,204.90亿元、列全省第16位，一般公共预算收入87.70亿元、列全省第16位。整体来看，黄山市经济基本面在安徽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黄山市财政体量在安徽省处于中游，税收占比47.32%、税收占比处于一般水平，但政府性基金收入较2023年累计下降18%、土地财政贡献度弱化；2025年末宽口径债务率542.39%、处于偏高水平，已显著高于公认的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黄山市一般公共预算收入分别为84.30亿元、85.20亿元、87.70亿元，其中税收收入41.90亿元、39.90亿元、41.50亿元，税收占比维持在49.70%、46.83%、47.32%；一般公共预算支出221.70亿元、238.70亿元、242.50亿元，财政自给率38.02%、35.69%、36.16%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政府性基金收入方面，2023、2024、2025年分别为49.70亿元、41.20亿元、40.60亿元，政府性基金收入较2023年累计下降18%、土地财政贡献度弱化，反映地方综合财力对房地产周期的敞口。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图表：2023-2025年黄山市财政收入情况(单位:亿元、%)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-7.10%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1.07%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2.93%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-4.77%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46.83%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47.32%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221.70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238.70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7.67%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242.50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1.59%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38.02%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35.69%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36.16%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-17.10%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-1.46%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资料来源:黄山市财政决算、企业预警通,风控信评部整理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土地市场方面，【待补充:黄山市土地出让与房地产销售数据（土地市场数据库未覆盖该市）】。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黄山市地方政府债务余额分别为442.87亿元、507.11亿元、570.04亿元，2025年末债务限额580.50亿元，债务余额控制在限额以内；城投有息债务2025年末估算余额125.85亿元。债务率指标看，2025年末政府债务率444.30%、城投债务率98.09%、宽口径债务率542.39%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黄山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