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东营市信用评级报告(区域部分)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东营经济总量列山东省第九位，人均GDP约20.00万元、人均经济实力居全省前列，经济增速由7.31%回落至5.50%、有所放缓；固定资产投资最新增速转负（-6.90%），经济动能仍有待修复。【待补充：东营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东营市2023、2024、2025年地区生产总值分别为4,081.00亿元、4,307.70亿元、4,502.73亿元，同比增长7.31%、6.45%、5.50%。截至2025年末，全市常住人口221.08万人，人均GDP约20.00万元。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产业结构方面，2025年东营市三次产业结构为4.4:59:36.6。【待补充：支柱产业、主要龙头企业、对外贸易等定性描述（数据库未覆盖）】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2023、2024、2025年固定资产投资增速分别为8.00%、6.40%、-6.90%，2025年社会消费品零售总额970.92亿元，进出口总额317.83亿美元。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东营市2025年GDP总量4,502.73亿元、列全省第九位，一般公共预算收入313.30亿元、列全省第十位。整体来看，东营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东营市财政体量在山东省处于中游，税收占比64.33%、税收质量较好，但政府性基金收入较2023年累计下降11%、土地财政贡献度弱化；2025年末宽口径债务率392.60%、处于偏高水平，已显著高于公认的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东营市一般公共预算收入分别为284.63亿元、302.15亿元、313.30亿元，其中税收收入199.76亿元、202.01亿元、201.56亿元，税收占比维持在70.18%、66.86%、64.33%；一般公共预算支出381.73亿元、431.73亿元、442.46亿元，财政自给率74.56%、69.99%、70.81%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政府性基金收入方面，2023、2024、2025年分别为124.66亿元、117.92亿元、110.71亿元，政府性基金收入较2023年累计下降11%、土地财政贡献度弱化，反映地方综合财力对房地产周期的敞口。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图表：2023-2025年东营市财政收入情况(单位:亿元、%)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284.63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302.15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-6.11%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资料来源:东营市财政决算、企业预警通,风控信评部整理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土地市场方面，【待补充:东营市土地出让与房地产销售数据（土地市场数据库未覆盖该市）】。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东营市地方政府债务余额分别为905.41亿元、1,058.06亿元、1,241.79亿元，2025年末债务限额1,275.00亿元，债务余额控制在限额以内；城投有息债务2025年末估算余额526.05亿元。债务率指标看，2025年末政府债务率275.77%、城投债务率116.83%、宽口径债务率392.60%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东营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