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威海市信用评级报告(区域部分)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威海经济总量列山东省第11位，人均GDP约13.38万元、人均经济实力居全省中游，经济增速维持在5.80%左右、总体平稳；固定资产投资最新增速转负（-12.50%），经济动能仍有待修复。【待补充：威海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威海市2023、2024、2025年地区生产总值分别为3,565.34亿元、3,724.77亿元、3,896.09亿元，同比增长5.69%、5.70%、5.80%。截至2025年末，全市常住人口291.16万人，人均GDP约13.38万元（按当年GDP与常住人口估算）。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产业结构方面，2025年威海市三次产业结构为9.1:36.1:54.8。【待补充：支柱产业、主要龙头企业、对外贸易等定性描述（数据库未覆盖）】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2023、2024、2025年固定资产投资增速分别为4.30%、4.40%、-12.50%，2025年社会消费品零售总额1,555.03亿元，进出口总额282.19亿美元。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威海市2025年GDP总量3,896.09亿元、列全省第11位，一般公共预算收入257.91亿元、列全省第14位。整体来看，威海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威海市财政体量在山东省处于中游，税收占比66.94%、税收质量较好，但政府性基金收入较2023年累计增长19%；2025年末宽口径债务率340.47%、处于偏高水平，已显著高于公认的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威海市一般公共预算收入分别为237.38亿元、249.75亿元、257.91亿元，其中税收收入169.14亿元、169.34亿元、172.66亿元，税收占比维持在71.25%、67.80%、66.94%；一般公共预算支出430.44亿元、480.46亿元、485.56亿元，财政自给率55.15%、51.98%、53.12%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政府性基金收入方面，2023、2024、2025年分别为189.42亿元、211.09亿元、225.52亿元，政府性基金收入较2023年累计增长19%，反映地方综合财力对房地产周期的敞口。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图表：2023-2025年威海市财政收入情况(单位:亿元、%)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430.44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480.46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189.42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资料来源:威海市财政决算、企业预警通,风控信评部整理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土地市场方面，【待补充:威海市土地出让与房地产销售数据（土地市场数据库未覆盖该市）】。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威海市地方政府债务余额分别为1,012.08亿元、1,215.09亿元、1,451.81亿元，2025年末债务限额1,539.37亿元，债务余额控制在限额以内；城投有息债务2025年末估算余额1,917.06亿元。债务率指标看，2025年末政府债务率146.72%、城投债务率193.74%、宽口径债务率340.47%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威海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