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日照市信用评级报告(区域部分)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日照经济总量列山东省第15位，人均GDP约9.24万元、人均经济实力居全省中游，经济增速维持在6.00%左右、总体平稳；固定资产投资最新增速0.50%，经济运行总体平稳。【待补充：日照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日照市2023、2024、2025年地区生产总值分别为2,455.74亿元、2,548.51亿元、2,689.96亿元，同比增长5.79%、5.35%、6.00%。截至2025年末，全市常住人口291.05万人，人均GDP约9.24万元（按当年GDP与常住人口估算）。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产业结构方面，2025年日照市三次产业结构为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2023、2024、2025年固定资产投资增速分别为1.40%、4.20%、0.50%，2025年社会消费品零售总额873.40亿元，进出口总额182.04亿美元。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日照市2025年GDP总量2,689.96亿元、列全省第15位，一般公共预算收入210.26亿元、列全省第15位。整体来看，日照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日照市财政体量在山东省处于中游，税收占比60.10%、税收质量较好，但政府性基金收入较2023年累计下降20%、土地财政贡献度弱化；2025年末宽口径债务率327.21%、处于偏高水平，已显著高于公认的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日照市一般公共预算收入分别为195.34亿元、204.16亿元、210.26亿元，其中税收收入130.37亿元、127.27亿元、126.37亿元，税收占比维持在66.74%、62.34%、60.10%；一般公共预算支出320.15亿元、318.45亿元、317.76亿元，财政自给率61.01%、64.11%、66.17%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政府性基金收入方面，2023、2024、2025年分别为223.45亿元、200.32亿元、179.29亿元，政府性基金收入较2023年累计下降20%、土地财政贡献度弱化，反映地方综合财力对房地产周期的敞口。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图表：2023-2025年日照市财政收入情况(单位:亿元、%)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204.16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320.15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-0.22%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179.29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-10.50%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资料来源:日照市财政决算、企业预警通,风控信评部整理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土地市场方面，【待补充:日照市土地出让与房地产销售数据（土地市场数据库未覆盖该市）】。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日照市地方政府债务余额分别为626.96亿元、796.40亿元、996.23亿元，2025年末债务限额1,076.38亿元，债务余额控制在限额以内；城投有息债务2025年末估算余额860.45亿元。债务率指标看，2025年末政府债务率175.57%、城投债务率151.64%、宽口径债务率327.21%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日照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