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泰安市信用评级报告(区域部分)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泰安经济总量列山东省第12位，人均GDP约7.27万元、人均经济实力在省内相对靠后，经济增速由6.54%回落至5.90%、有所放缓；固定资产投资最新增速0.20%，经济运行总体平稳。【待补充：泰安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泰安市2023、2024、2025年地区生产总值分别为3,448.74亿元、3,622.11亿元、3,803.50亿元，同比增长6.54%、5.76%、5.90%。截至2025年末，全市常住人口523.18万人，人均GDP约7.27万元（按当年GDP与常住人口估算）。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产业结构方面，2025年泰安市三次产业结构为9.8:40.4:49.8。【待补充：支柱产业、主要龙头企业、对外贸易等定性描述（数据库未覆盖）】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2023、2024、2025年固定资产投资增速分别为7.80%、5.20%、0.20%，2025年社会消费品零售总额1,553.20亿元，进出口总额83.68亿美元。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泰安市2025年GDP总量3,803.50亿元、列全省第12位，一般公共预算收入261.96亿元、列全省第13位。整体来看，泰安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泰安市财政体量在山东省处于中游，税收占比69.83%、税收质量较好，但政府性基金收入较2023年累计增长29%；2025年末宽口径债务率344.52%、处于偏高水平，已显著高于公认的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泰安市一般公共预算收入分别为239.24亿元、252.69亿元、261.96亿元，其中税收收入179.23亿元、180.16亿元、182.94亿元，税收占比维持在74.92%、71.30%、69.83%；一般公共预算支出463.39亿元、480.00亿元、486.44亿元，财政自给率51.63%、52.64%、53.85%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政府性基金收入方面，2023、2024、2025年分别为101.57亿元、130.40亿元、130.77亿元，政府性基金收入较2023年累计增长29%，反映地方综合财力对房地产周期的敞口。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图表：2023-2025年泰安市财政收入情况(单位:亿元、%)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180.16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486.44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资料来源:泰安市财政决算、企业预警通,风控信评部整理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土地市场方面，【待补充:泰安市土地出让与房地产销售数据（土地市场数据库未覆盖该市）】。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泰安市地方政府债务余额分别为960.25亿元、1,124.11亿元、1,308.97亿元，2025年末债务限额1,364.29亿元，债务余额控制在限额以内；城投有息债务2025年末估算余额1,339.91亿元。债务率指标看，2025年末政府债务率170.25%、城投债务率174.27%、宽口径债务率344.52%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泰安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