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岳阳市信用评级报告(区域部分)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岳阳经济总量列湖南省第二位，人均GDP约—万元、人均经济实力居省内中游，经济增速由4.90%回升至5.50%、动能边际改善；固定资产投资连续负增长（最新-9.20%），经济动能仍有待修复。【待补充：岳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岳阳市2023、2024、2025年地区生产总值分别为4,910.67亿元、5,113.83亿元、5,386.88亿元，同比增长4.90%、4.90%、5.50%。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产业结构方面，2025年岳阳市三次产业结构为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2023、2024、2025年固定资产投资增速分别为-7.20%、1.80%、-9.20%，2025年社会消费品零售总额1,980.05亿元，进出口总额70.19亿美元。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岳阳市2025年GDP总量5,386.88亿元、列全省第二位，一般公共预算收入207.00亿元、列全省第二位。整体来看，岳阳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岳阳市财政体量在湖南省位居前列，税收占比54.83%、税收占比处于一般水平，但政府性基金收入较2023年累计下降18%、土地财政贡献度弱化；2025年末宽口径债务率811.29%、处于偏高水平，已显著高于公认的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岳阳市一般公共预算收入分别为200.15亿元、200.52亿元、207.00亿元，其中税收收入131.06亿元、120.07亿元、113.50亿元，税收占比维持在65.48%、59.88%、54.83%；一般公共预算支出632.48亿元、620.93亿元、664.20亿元，财政自给率31.65%、32.29%、31.17%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政府性基金收入方面，2023、2024、2025年分别为271.95亿元、207.86亿元、224.10亿元，政府性基金收入较2023年累计下降18%、土地财政贡献度弱化，反映地方综合财力对房地产周期的敞口。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图表：2023-2025年岳阳市财政收入情况(单位:亿元、%)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632.48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620.93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资料来源:岳阳市财政决算、企业预警通,风控信评部整理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土地市场方面，【待补充:岳阳市土地出让与房地产销售数据（土地市场数据库未覆盖该市）】。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岳阳市地方政府债务余额分别为1,099.04亿元、1,327.97亿元、1,579.84亿元，2025年末债务限额1,595.86亿元，债务余额控制在限额以内；城投有息债务2025年末估算余额1,917.63亿元。债务率指标看，2025年末政府债务率366.47%、城投债务率444.82%、宽口径债务率811.29%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岳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