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常德市信用评级报告(区域部分)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常德经济总量列湖南省第三位，人均GDP约9.00万元、人均经济实力居全省前列，经济增速由3.80%回升至5.60%、动能边际改善；固定资产投资连续负增长（最新1.50%），经济运行总体平稳。【待补充：常德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常德市2023、2024、2025年地区生产总值分别为4,396.59亿元、4,532.75亿元、4,770.90亿元，同比增长3.80%、2.50%、5.60%。截至2025年末，全市常住人口510.70万人，人均GDP约9.00万元。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产业结构方面，2025年常德市三次产业结构为11.1:36.3:52.6。【待补充：支柱产业、主要龙头企业、对外贸易等定性描述（数据库未覆盖）】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2023、2024、2025年固定资产投资增速分别为-13.80%、-19.80%、1.50%，2025年社会消费品零售总额1,797.80亿元，进出口总额21.45亿美元。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常德市2025年GDP总量4,770.90亿元、列全省第三位，一般公共预算收入192.68亿元、列全省第五位。整体来看，常德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常德市财政体量在湖南省处于中游，税收占比48.41%、税收占比处于一般水平，但政府性基金收入较2023年累计下降29%、土地财政贡献度弱化；2025年末宽口径债务率431.86%、处于偏高水平，已显著高于公认的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常德市一般公共预算收入分别为202.22亿元、192.09亿元、192.68亿元，其中税收收入107.50亿元、96.74亿元、93.27亿元，税收占比维持在53.16%、50.36%、48.41%；一般公共预算支出612.96亿元、622.11亿元、602.56亿元，财政自给率32.99%、30.88%、31.98%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政府性基金收入方面，2023、2024、2025年分别为141.87亿元、98.05亿元、100.29亿元，政府性基金收入较2023年累计下降29%、土地财政贡献度弱化，反映地方综合财力对房地产周期的敞口。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图表：2023-2025年常德市财政收入情况(单位:亿元、%)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-3.59%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612.96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-3.14%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141.87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-30.89%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资料来源:常德市财政决算、企业预警通,风控信评部整理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土地市场方面，【待补充:常德市土地出让与房地产销售数据（土地市场数据库未覆盖该市）】。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常德市地方政府债务余额分别为1,104.95亿元、1,382.17亿元、1,618.51亿元，2025年末债务限额1,632.32亿元，债务余额控制在限额以内；城投有息债务2025年末估算余额2,073.18亿元。债务率指标看，2025年末政府债务率189.34%、城投债务率242.53%、宽口径债务率431.86%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常德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