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张家界市信用评级报告(区域部分)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张家界经济总量列湖南省第14位，人均GDP约4.53万元、人均经济实力在省内相对靠后，经济增速由4.60%回落至3.00%、有所放缓；固定资产投资连续负增长（最新-7.40%），经济动能仍有待修复。【待补充：张家界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张家界市2023、2024、2025年地区生产总值分别为624.26亿元、654.41亿元、667.83亿元，同比增长4.60%、3.90%、3.00%。截至2025年末，全市常住人口146.33万人，人均GDP约4.53万元。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产业结构方面，2025年张家界市三次产业结构为14.2:11.8:74。【待补充：支柱产业、主要龙头企业、对外贸易等定性描述（数据库未覆盖）】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2023、2024、2025年固定资产投资增速分别为-20.60%、-5.30%、-7.40%，2025年社会消费品零售总额261.41亿元，进出口总额1.69亿美元。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张家界市2025年GDP总量667.83亿元、列全省第14位，一般公共预算收入38.61亿元、列全省第14位。整体来看，张家界市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张家界市财政体量在湖南省处于中游，税收占比52.10%、税收占比处于一般水平，但政府性基金收入较2023年累计增长29%；2025年末宽口径债务率1648.54%、处于偏高水平，已显著高于公认的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张家界市一般公共预算收入分别为35.88亿元、36.67亿元、38.61亿元，其中税收收入23.15亿元、22.46亿元、20.12亿元，税收占比维持在64.53%、61.26%、52.10%；一般公共预算支出222.38亿元、210.68亿元、215.72亿元，财政自给率16.13%、17.41%、17.90%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政府性基金收入方面，2023、2024、2025年分别为16.71亿元、8.79亿元、21.62亿元，政府性基金收入较2023年累计增长29%，反映地方综合财力对房地产周期的敞口。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图表：2023-2025年张家界市财政收入情况(单位:亿元、%)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-10.42%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222.38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-47.40%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145.96%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资料来源:张家界市财政决算、企业预警通,风控信评部整理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土地市场方面，【待补充:张家界市土地出让与房地产销售数据（土地市场数据库未覆盖该市）】。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张家界市地方政府债务余额分别为428.59亿元、547.47亿元、661.48亿元，2025年末债务限额666.68亿元，债务余额控制在限额以内；城投有息债务2025年末估算余额331.46亿元。债务率指标看，2025年末政府债务率1098.23%、城投债务率550.31%、宽口径债务率1648.54%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张家界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