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怀化市信用评级报告(区域部分)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怀化经济总量列湖南省第12位，人均GDP约4.98万元、人均经济实力在省内相对靠后，经济增速维持在5.70%左右、总体平稳；固定资产投资最新增速3.60%，经济运行总体平稳。【待补充：怀化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怀化市2023、2024、2025年地区生产总值分别为1,978.38亿元、2,093.82亿元、2,191.55亿元，同比增长5.60%、5.30%、5.70%。截至2025年末，全市常住人口438.39万人，人均GDP约4.98万元。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产业结构方面，2025年怀化市三次产业结构为13.8:31.5:54.7。【待补充：支柱产业、主要龙头企业、对外贸易等定性描述（数据库未覆盖）】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2023、2024、2025年固定资产投资增速分别为7.60%、11.20%、3.60%，2025年社会消费品零售总额812.82亿元，进出口总额15.72亿美元。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怀化市2025年GDP总量2,191.55亿元、列全省第12位，一般公共预算收入125.26亿元、列全省第八位。整体来看，怀化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怀化市财政体量在湖南省处于中游，税收占比58.77%、税收占比处于一般水平，但政府性基金收入较2023年累计下降22%、土地财政贡献度弱化；2025年末宽口径债务率1522.27%、处于偏高水平，已显著高于公认的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怀化市一般公共预算收入分别为124.18亿元、122.21亿元、125.26亿元，其中税收收入87.48亿元、74.71亿元、73.62亿元，税收占比维持在70.44%、61.14%、58.77%；一般公共预算支出560.38亿元、558.32亿元、553.52亿元，财政自给率22.16%、21.89%、22.63%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政府性基金收入方面，2023、2024年分别为107.04亿元、83.44亿元，政府性基金收入较2023年累计下降22%、土地财政贡献度弱化，反映地方综合财力对房地产周期的敞口。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图表：2023-2025年怀化市财政收入情况(单位:亿元、%)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-1.46%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-0.86%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-22.05%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资料来源:怀化市财政决算、企业预警通,风控信评部整理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土地市场方面，【待补充:怀化市土地出让与房地产销售数据（土地市场数据库未覆盖该市）】。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怀化市地方政府债务余额分别为1,008.72亿元、1,147.63亿元、1,334.16亿元，2025年末债务限额1,346.64亿元，债务余额控制在限额以内；城投有息债务2025年末估算余额572.63亿元。债务率指标看，2025年末政府债务率1065.11%、城投债务率457.16%、宽口径债务率1522.27%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怀化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