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湘潭市信用评级报告(区域部分)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湘潭经济总量列湖南省第七位，人均GDP约11.48万元、人均经济实力居全省前列，经济增速由5.40%回落至4.80%、有所放缓；固定资产投资最新增速转负（-2.80%），经济动能仍有待修复。【待补充：湘潭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湘潭市2023、2024、2025年地区生产总值分别为2,788.38亿元、2,957.06亿元、3,077.23亿元，同比增长5.40%、5.70%、4.80%。截至2025年末，全市常住人口267.02万人，人均GDP约11.48万元。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产业结构方面，2025年湘潭市三次产业结构为6.3:45.3:48.4。【待补充：支柱产业、主要龙头企业、对外贸易等定性描述（数据库未覆盖）】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2023、2024、2025年固定资产投资增速分别为6.10%、6.40%、-2.80%，2025年社会消费品零售总额1,028.51亿元，进出口总额35.64亿美元。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图表：2025年湖南省各地级市主要经济指标对比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长沙市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15,737.82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3.1:35:61.9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1,296.87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1072.14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岳阳市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5,386.88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207.00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常德市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4,770.90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11.1:36.3:52.6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192.68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510.70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衡阳市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4,689.55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10.5:31.1:58.4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185.22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636.36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株洲市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4,063.50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7.3:46:46.7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200.36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382.04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郴州市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3,502.08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10:38.5:51.5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200.14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455.74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湘潭市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3,077.23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11.48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6.3:45.3:48.4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107.53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267.02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邵阳市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2,883.50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16.2:32.6:51.2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115.10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621.70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永州市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2,829.58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16.8:32.3:50.9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153.00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494.86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益阳市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2,381.46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16:43.1:40.9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113.59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369.19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娄底市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2,237.30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10.9:37.6:51.5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93.52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368.28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怀化市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2,191.55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13.8:31.5:54.7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125.26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438.39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湘西土家族苗族自治州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889.50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14.7:20.6:64.7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79.89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236.06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张家界市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667.83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14.2:11.8:74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146.33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湘潭市2025年GDP总量3,077.23亿元、列全省第七位，一般公共预算收入107.53亿元、列全省第11位。整体来看，湘潭市经济基本面在湖南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湘潭市财政体量在湖南省处于中游，税收占比68.01%、税收质量较好，但政府性基金收入较2023年累计下降53%、土地财政贡献度弱化；2025年末宽口径债务率3257.24%、处于偏高水平，已显著高于公认的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湘潭市一般公共预算收入分别为124.04亿元、102.42亿元、107.53亿元，其中税收收入83.56亿元、68.99亿元、73.13亿元，税收占比维持在67.36%、67.36%、68.01%；一般公共预算支出285.75亿元、292.69亿元、295.20亿元，财政自给率43.41%、34.99%、36.43%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政府性基金收入方面，2023、2024年分别为67.64亿元、31.67亿元，政府性基金收入较2023年累计下降53%、土地财政贡献度弱化，反映地方综合财力对房地产周期的敞口。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图表：2023-2025年湘潭市财政收入情况(单位:亿元、%)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124.04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-3.00%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102.42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-17.43%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107.53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4.99%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83.56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68.99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-17.44%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73.13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67.36%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67.36%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68.01%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285.75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292.69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2.43%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295.20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0.86%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43.41%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34.99%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36.43%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67.64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-53.18%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资料来源:湘潭市财政决算、企业预警通,风控信评部整理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土地市场方面，【待补充:湘潭市土地出让与房地产销售数据（土地市场数据库未覆盖该市）】。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湘潭市地方政府债务余额分别为1,776.94亿元、2,085.74亿元、2,393.66亿元，2025年末债务限额2,401.76亿元，债务余额控制在限额以内；城投有息债务2025年末估算余额1,108.85亿元。债务率指标看，2025年末政府债务率2226.04%、城投债务率1031.20%、宽口径债务率3257.24%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湘潭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