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湘西土家族苗族自治州信用评级报告(区域部分)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湘西土家族苗族自治州经济总量列湖南省第13位，人均GDP约3.74万元、人均经济实力在省内相对靠后，经济增速由3.00%回升至4.20%、动能边际改善；固定资产投资连续负增长（最新-9.80%），经济动能仍有待修复。【待补充：湘西土家族苗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湘西土家族苗族自治州2023、2024、2025年地区生产总值分别为855.01亿元、855.95亿元、889.50亿元，同比增长3.00%、0.50%、4.20%。截至2025年末，全市常住人口236.06万人，人均GDP约3.74万元。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产业结构方面，2025年湘西土家族苗族自治州三次产业结构为14.7:20.6:64.7。【待补充：支柱产业、主要龙头企业、对外贸易等定性描述（数据库未覆盖）】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2023、2024、2025年固定资产投资增速分别为-13.00%、-19.10%、-9.80%，2025年社会消费品零售总额330.00亿元，进出口总额2.27亿美元。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15,737.82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3.1:35:61.9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1072.14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岳阳市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5,386.88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11.1:36.3:52.6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4,689.55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10.5:31.1:58.4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株洲市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7.3:46:46.7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郴州市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10:38.5:51.5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3,077.23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6.3:45.3:48.4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621.70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2,829.58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16.8:32.3:50.9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益阳市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16:43.1:40.9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娄底市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10.9:37.6:51.5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368.28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怀化市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13.8:31.5:54.7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湘西土家族苗族自治州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14.7:20.6:64.7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14.2:11.8:74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146.33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湘西土家族苗族自治州2025年GDP总量889.50亿元、列全省第13位，一般公共预算收入79.89亿元、列全省第13位。整体来看，湘西土家族苗族自治州经济基本面在湖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湘西土家族苗族自治州财政体量在湖南省处于中游，税收占比47.46%、税收占比处于一般水平，但政府性基金收入较2023年累计增长17%；2025年末宽口径债务率204.11%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湘西土家族苗族自治州一般公共预算收入分别为79.90亿元、78.09亿元、79.89亿元，其中税收收入40.65亿元、37.17亿元、37.91亿元，税收占比维持在50.87%、47.59%、47.46%；一般公共预算支出370.14亿元、384.21亿元、354.65亿元，财政自给率21.58%、20.32%、22.53%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政府性基金收入方面，2023、2024、2025年分别为18.24亿元、15.20亿元、21.39亿元，政府性基金收入较2023年累计增长17%，反映地方综合财力对房地产周期的敞口。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图表：2023-2025年湘西土家族苗族自治州财政收入情况(单位:亿元、%)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354.65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-7.69%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40.72%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资料来源:湘西土家族苗族自治州财政决算、企业预警通,风控信评部整理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土地市场方面，【待补充:湘西土家族苗族自治州土地出让与房地产销售数据（土地市场数据库未覆盖该市）】。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湘西土家族苗族自治州地方政府债务余额分别为571.00亿元、663.03亿元、772.36亿元，2025年末债务限额778.87亿元，债务余额控制在限额以内；城投有息债务2025年末估算余额197.85亿元。债务率指标看，2025年末政府债务率162.49%、城投债务率41.62%、宽口径债务率204.11%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湘西土家族苗族自治州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