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益阳市信用评级报告(区域部分)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益阳经济总量列湖南省第十位，人均GDP约6.41万元、人均经济实力居全省中游，经济增速由3.50%回升至5.50%、动能边际改善；固定资产投资最新增速转负（-4.90%），经济动能仍有待修复。【待补充：益阳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益阳市2023、2024、2025年地区生产总值分别为2,163.57亿元、2,268.18亿元、2,381.46亿元，同比增长3.50%、4.70%、5.50%。截至2025年末，全市常住人口369.19万人，人均GDP约6.41万元。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产业结构方面，2025年益阳市三次产业结构为16:43.1:40.9。【待补充：支柱产业、主要龙头企业、对外贸易等定性描述（数据库未覆盖）】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2023、2024、2025年固定资产投资增速分别为6.80%、8.60%、-4.90%，2025年社会消费品零售总额1,013.42亿元，进出口总额11.64亿美元。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15,737.82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3.1:35:61.9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1,296.87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1072.14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岳阳市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5,386.88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4,770.90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11.1:36.3:52.6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4,689.55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10.5:31.1:58.4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636.36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株洲市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4,063.50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7.3:46:46.7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382.04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郴州市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3,502.08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10:38.5:51.5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455.74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3,077.23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6.3:45.3:48.4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267.02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16.2:32.6:51.2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621.70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2,829.58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16.8:32.3:50.9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益阳市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2,381.46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16:43.1:40.9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娄底市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10.9:37.6:51.5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368.28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怀化市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2,191.55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13.8:31.5:54.7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438.39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湘西土家族苗族自治州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14.7:20.6:64.7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236.06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667.83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14.2:11.8:74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146.33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益阳市2025年GDP总量2,381.46亿元、列全省第十位，一般公共预算收入113.59亿元、列全省第十位。整体来看，益阳市经济基本面在湖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益阳市财政体量在湖南省处于中游，税收占比57.22%、税收占比处于一般水平，但政府性基金收入较2023年累计下降14%、土地财政贡献度弱化；2025年末宽口径债务率1000.18%、处于偏高水平，已显著高于公认的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益阳市一般公共预算收入分别为106.40亿元、108.14亿元、113.59亿元，其中税收收入70.41亿元、65.38亿元、65.00亿元，税收占比维持在66.18%、60.46%、57.22%；一般公共预算支出417.25亿元、455.79亿元、432.03亿元，财政自给率25.50%、23.73%、26.29%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政府性基金收入方面，2023、2024、2025年分别为52.18亿元、32.11亿元、45.09亿元，政府性基金收入较2023年累计下降14%、土地财政贡献度弱化，反映地方综合财力对房地产周期的敞口。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图表：2023-2025年益阳市财政收入情况(单位:亿元、%)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-0.58%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455.79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432.03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-5.21%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-38.46%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40.42%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资料来源:益阳市财政决算、企业预警通,风控信评部整理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土地市场方面，【待补充:益阳市土地出让与房地产销售数据（土地市场数据库未覆盖该市）】。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益阳市地方政府债务余额分别为687.30亿元、802.11亿元、916.92亿元，2025年末债务限额925.56亿元，债务余额控制在限额以内；城投有息债务2025年末估算余额683.72亿元。债务率指标看，2025年末政府债务率572.95%、城投债务率427.23%、宽口径债务率1000.18%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益阳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