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衡阳市信用评级报告(区域部分)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衡阳经济总量列湖南省第四位，人均GDP约7.33万元、人均经济实力居全省中游，经济增速维持在5.20%左右、总体平稳；固定资产投资最新增速转负（-9.80%），经济动能仍有待修复。【待补充：衡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衡阳市2023、2024、2025年地区生产总值分别为4,251.21亿元、4,480.98亿元、4,689.55亿元，同比增长5.40%、5.30%、5.20%。截至2025年末，全市常住人口636.36万人，人均GDP约7.33万元。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产业结构方面，2025年衡阳市三次产业结构为10.5:31.1:58.4。【待补充：支柱产业、主要龙头企业、对外贸易等定性描述（数据库未覆盖）】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2023、2024、2025年固定资产投资增速分别为6.40%、8.10%、-9.80%，2025年社会消费品零售总额1,982.32亿元，进出口总额36.04亿美元。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衡阳市2025年GDP总量4,689.55亿元、列全省第四位，一般公共预算收入185.22亿元、列全省第六位。整体来看，衡阳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衡阳市财政体量在湖南省处于中游，税收占比64.51%、税收质量较好，但政府性基金收入总体平稳；2025年末宽口径债务率819.37%、处于偏高水平，已显著高于公认的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衡阳市一般公共预算收入分别为195.61亿元、195.98亿元、185.22亿元，其中税收收入134.55亿元、129.49亿元、119.49亿元，税收占比维持在68.79%、66.07%、64.51%；一般公共预算支出663.00亿元、694.20亿元、701.16亿元，财政自给率29.50%、28.23%、26.42%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政府性基金收入方面，2023、2024、2025年分别为225.64亿元、142.18亿元、208.71亿元，政府性基金收入总体平稳，反映地方综合财力对房地产周期的敞口。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图表：2023-2025年衡阳市财政收入情况(单位:亿元、%)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142.18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资料来源:衡阳市财政决算、企业预警通,风控信评部整理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土地市场方面，【待补充:衡阳市土地出让与房地产销售数据（土地市场数据库未覆盖该市）】。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衡阳市地方政府债务余额分别为1,331.25亿元、1,444.03亿元、1,689.15亿元，2025年末债务限额1,700.46亿元，债务余额控制在限额以内；城投有息债务2025年末估算余额1,864.01亿元。债务率指标看，2025年末政府债务率389.53%、城投债务率429.85%、宽口径债务率819.37%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衡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