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邵阳市信用评级报告(区域部分)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邵阳经济总量列湖南省第八位，人均GDP约4.61万元、人均经济实力在省内相对靠后，经济增速由5.10%回落至0.20%、有所放缓；固定资产投资最新增速转负（-41.20%），经济动能仍有待修复。【待补充：邵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邵阳市2023、2024、2025年地区生产总值分别为2,781.54亿元、2,891.43亿元、2,883.50亿元，同比增长5.10%、5.10%、0.20%。截至2025年末，全市常住人口621.70万人，人均GDP约4.61万元。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产业结构方面，2025年邵阳市三次产业结构为16.2:32.6:51.2。【待补充：支柱产业、主要龙头企业、对外贸易等定性描述（数据库未覆盖）】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2023、2024、2025年固定资产投资增速分别为4.30%、6.20%、-41.20%，2025年社会消费品零售总额1,537.50亿元，进出口总额16.13亿美元。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邵阳市2025年GDP总量2,883.50亿元、列全省第八位，一般公共预算收入115.10亿元、列全省第九位。整体来看，邵阳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邵阳市财政体量在湖南省处于中游，税收占比52.65%、税收占比处于一般水平，但政府性基金收入较2023年累计下降44%、土地财政贡献度弱化；2025年末宽口径债务率1248.53%、处于偏高水平，已显著高于公认的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邵阳市一般公共预算收入分别为133.75亿元、122.27亿元、115.10亿元，其中税收收入84.88亿元、72.32亿元、60.60亿元，税收占比维持在63.46%、59.15%、52.65%；一般公共预算支出699.45亿元、652.39亿元、645.48亿元，财政自给率19.12%、18.74%、17.83%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政府性基金收入方面，2023、2024、2025年分别为126.18亿元、75.41亿元、70.85亿元，政府性基金收入较2023年累计下降44%、土地财政贡献度弱化，反映地方综合财力对房地产周期的敞口。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图表：2023-2025年邵阳市财政收入情况(单位:亿元、%)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699.45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资料来源:邵阳市财政决算、企业预警通,风控信评部整理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土地市场方面，【待补充:邵阳市土地出让与房地产销售数据（土地市场数据库未覆盖该市）】。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邵阳市地方政府债务余额分别为957.21亿元、1,187.56亿元、1,388.58亿元，2025年末债务限额1,403.22亿元，债务余额控制在限额以内；城投有息债务2025年末估算余额933.04亿元。债务率指标看，2025年末政府债务率746.76%、城投债务率501.77%、宽口径债务率1248.53%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邵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