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郴州市信用评级报告(区域部分)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郴州经济总量列湖南省第六位，人均GDP约7.67万元、人均经济实力居全省中游，经济增速由5.00%回升至5.50%、动能边际改善；固定资产投资最新增速0.10%，经济运行总体平稳。【待补充：郴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郴州市2023、2024、2025年地区生产总值分别为3,141.99亿元、3,323.39亿元、3,502.08亿元，同比增长5.00%、5.60%、5.50%。截至2025年末，全市常住人口455.74万人，人均GDP约7.67万元。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产业结构方面，2025年郴州市三次产业结构为10:38.5:51.5。【待补充：支柱产业、主要龙头企业、对外贸易等定性描述（数据库未覆盖）】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2023、2024、2025年固定资产投资增速分别为7.30%、8.10%、0.10%，2025年社会消费品零售总额1,200.41亿元，进出口总额69.73亿美元。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郴州市2025年GDP总量3,502.08亿元、列全省第六位，一般公共预算收入200.14亿元、列全省第四位。整体来看，郴州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郴州市财政体量在湖南省处于中游，税收占比65.11%、税收质量较好，但政府性基金收入较2023年累计增长12%；2025年末宽口径债务率320.80%、处于偏高水平，已显著高于公认的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郴州市一般公共预算收入分别为188.03亿元、193.37亿元、200.14亿元，其中税收收入130.54亿元、129.94亿元、130.31亿元，税收占比维持在69.43%、67.19%、65.11%；一般公共预算支出560.82亿元、581.30亿元、589.13亿元，财政自给率33.53%、33.27%、33.97%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政府性基金收入方面，2023、2024、2025年分别为120.37亿元、130.51亿元、134.70亿元，政府性基金收入较2023年累计增长12%，反映地方综合财力对房地产周期的敞口。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图表：2023-2025年郴州市财政收入情况(单位:亿元、%)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560.82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589.13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资料来源:郴州市财政决算、企业预警通,风控信评部整理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土地市场方面，【待补充:郴州市土地出让与房地产销售数据（土地市场数据库未覆盖该市）】。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郴州市地方政府债务余额分别为1,196.55亿元、1,390.95亿元、1,589.21亿元，2025年末债务限额1,600.54亿元，债务余额控制在限额以内；城投有息债务2025年末估算余额1,229.30亿元。债务率指标看，2025年末政府债务率180.88%、城投债务率139.92%、宽口径债务率320.80%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郴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