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长沙市信用评级报告(区域部分)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长沙经济总量在湖南省稳居第一，人均GDP约14.68万元、人均经济实力居全省前列，经济增速由4.90%回落至4.00%、有所放缓；固定资产投资连续负增长（最新-19.30%），经济动能仍有待修复。【待补充：长沙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长沙市2023、2024、2025年地区生产总值分别为14,517.55亿元、15,268.78亿元、15,737.82亿元，同比增长4.90%、5.00%、4.00%。截至2025年末，全市常住人口1072.14万人，人均GDP约14.68万元（按当年GDP与常住人口估算）。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产业结构方面，2025年长沙市三次产业结构为3.1:35:61.9。【待补充：支柱产业、主要龙头企业、对外贸易等定性描述（数据库未覆盖）】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2023、2024、2025年固定资产投资增速分别为-6.80%、2.30%、-19.30%，2025年社会消费品零售总额5,738.93亿元，进出口总额402.55亿美元。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图表：2025年湖南省各地级市主要经济指标对比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长沙市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15,737.82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3.1:35:61.9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1,296.87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1072.14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岳阳市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5,386.88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常德市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4,770.90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11.1:36.3:52.6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510.70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4,689.55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10.5:31.1:58.4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636.36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株洲市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4,063.50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7.3:46:46.7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382.04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郴州市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3,502.08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10:38.5:51.5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455.74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湘潭市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3,077.23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6.3:45.3:48.4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267.02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2,883.50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16.2:32.6:51.2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621.70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2,829.58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16.8:32.3:50.9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益阳市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2,381.46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16:43.1:40.9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369.19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娄底市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2,237.30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10.9:37.6:51.5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368.28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怀化市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2,191.55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13.8:31.5:54.7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438.39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湘西土家族苗族自治州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14.7:20.6:64.7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236.06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张家界市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667.83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14.2:11.8:74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146.33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长沙市2025年GDP总量15,737.82亿元、列全省第一位，一般公共预算收入1,296.87亿元、列全省第一位。整体来看，长沙市经济基本面在湖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长沙市财政体量在湖南省稳居第一，税收占比—、税收占比处于一般水平，但政府性基金收入较2023年累计下降41%、土地财政贡献度弱化；2025年末宽口径债务率671.50%、处于偏高水平，已显著高于公认的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长沙市一般公共预算收入分别为1,227.07亿元、1,264.54亿元、1,296.87亿元，其中税收收入821.03亿元、786.97亿元、—亿元，税收占比维持在66.91%、62.23%、—；一般公共预算支出1,626.83亿元、1,663.94亿元、1,625.77亿元，财政自给率75.43%、76.00%、79.77%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政府性基金收入方面，2023、2024、2025年分别为902.83亿元、576.80亿元、528.70亿元，政府性基金收入较2023年累计下降41%、土地财政贡献度弱化，反映地方综合财力对房地产周期的敞口。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图表：2023-2025年长沙市财政收入情况(单位:亿元、%)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1,264.54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1,296.87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821.03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786.97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66.91%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1,663.94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1,625.77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-2.29%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902.83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576.80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-36.11%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-8.34%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资料来源:长沙市财政决算、企业预警通,风控信评部整理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长沙市经营性用地成交价分别为1,166.64亿元、860.64亿元、741.32亿元、546.59亿元、360.77亿元，2025年较2021年下降69.08%；同期平均溢价率为4.03%、1.22%、1.47%、2.34%、2.62%；成交楼面均价由2,066元/㎡降至1,676元/㎡、累计下降18.88%。2026年1-4月，长沙市经营性用地累计成交31宗、规划建面225.79万㎡、成交价50.81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图表:2021-2025年长沙市土地出让情况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5,647.35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2,066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4.03%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1,166.64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4,294.91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1.22%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860.64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4,133.39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1,793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1.47%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741.32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2,963.16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1,845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2.34%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546.59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2,150.91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1,676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2.62%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360.77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225.79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50.81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长沙市商品住宅成交面积由1,353.85万㎡变动至323.51万㎡、累计下降76.1%；新房均价2025年为13,736元/㎡、较2023年高点(14,463元/㎡)累计下跌5.03%；2025年去化周期32.04个月。据中指冰山指数(最低挂牌价口径)，长沙二手房挂牌价较2018年7月高点累计下跌31.68%，2023年累计跌幅-4.52%、2024年累计跌幅-9.91%、2025年累计跌幅-13.12%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长沙市地方政府债务余额分别为3,050.13亿元、3,211.59亿元、3,671.38亿元，2025年末债务限额3,706.82亿元，债务余额控制在限额以内；城投有息债务2025年末估算余额8,720.59亿元。债务率指标看，2025年末政府债务率198.94%、城投债务率472.55%、宽口径债务率671.50%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长沙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