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嘉峪关市信用评级报告(区域部分)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嘉峪关经济总量列甘肃省第13位，人均GDP约12.40万元、人均经济实力居全省中游，经济增速由7.70%回落至6.50%、有所放缓；固定资产投资最新增速转负（-11.60%），经济动能仍有待修复。【待补充：嘉峪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嘉峪关市2023、2024、2025年地区生产总值分别为339.72亿元、369.80亿元、391.00亿元，同比增长7.70%、8.10%、6.50%。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产业结构方面，2025年嘉峪关市三次产业结构为1.9:49:49.1。【待补充：支柱产业、主要龙头企业、对外贸易等定性描述（数据库未覆盖）】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2023、2024、2025年固定资产投资增速分别为13.33%、6.07%、-11.60%，2025年社会消费品零售总额83.00亿元。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嘉峪关市2025年GDP总量391.00亿元、列全省第13位，一般公共预算收入30.49亿元、列全省第12位。整体来看，嘉峪关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嘉峪关市财政体量在甘肃省处于中游，税收占比71.17%、税收质量较好，但政府性基金收入较2023年累计下降40%、土地财政贡献度弱化；2025年末宽口径债务率142.26%、处于可控水平，整体处于可控水平。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嘉峪关市一般公共预算收入分别为27.11亿元、29.38亿元、30.49亿元，其中税收收入18.51亿元、20.03亿元、21.70亿元，税收占比维持在68.28%、68.17%、71.17%；一般公共预算支出41.34亿元、45.55亿元、45.66亿元，财政自给率65.58%、64.50%、66.78%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政府性基金收入方面，2023、2024、2025年分别为3.45亿元、3.57亿元、2.06亿元，政府性基金收入较2023年累计下降40%、土地财政贡献度弱化，反映地方综合财力对房地产周期的敞口。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图表：2023-2025年嘉峪关市财政收入情况(单位:亿元、%)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-42.30%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资料来源:嘉峪关市财政决算、企业预警通,风控信评部整理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土地市场方面，【待补充:嘉峪关市土地出让与房地产销售数据（土地市场数据库未覆盖该市）】。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嘉峪关市地方政府债务余额分别为67.55亿元、73.29亿元、—亿元，2025年末债务限额—亿元，债务余额控制在限额以内；城投有息债务2025年末估算余额46.30亿元。债务率指标看，2025年末政府债务率—、城投债务率142.26%、宽口径债务率142.26%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嘉峪关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