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天水市信用评级报告(区域部分)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天水经济总量列甘肃省第四位，人均GDP约—万元、人均经济实力居省内中游，经济增速由5.40%回落至3.10%、有所放缓；固定资产投资连续负增长（最新-19.40%），经济动能仍有待修复。【待补充：天水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天水市2023、2024、2025年地区生产总值分别为885.55亿元、954.64亿元、980.88亿元，同比增长5.40%、6.40%、3.10%。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产业结构方面，2025年天水市三次产业结构为18.4:20.6:61。【待补充：支柱产业、主要龙头企业、对外贸易等定性描述（数据库未覆盖）】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2023、2024、2025年固定资产投资增速分别为-12.78%、11.94%、-19.40%，2025年社会消费品零售总额331.42亿元，进出口总额4.03亿美元。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天水市2025年GDP总量980.88亿元、列全省第四位，一般公共预算收入42.56亿元、列全省第五位。整体来看，天水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天水市财政体量在甘肃省处于中游，税收占比—、税收占比处于一般水平，但政府性基金收入较2023年累计下降16%、土地财政贡献度弱化；2025年末宽口径债务率1006.68%、处于偏高水平，已显著高于公认的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天水市一般公共预算收入分别为46.34亿元、47.00亿元、42.56亿元，其中税收收入29.12亿元、28.96亿元、—亿元，税收占比维持在62.84%、61.62%、—；一般公共预算支出350.79亿元、339.88亿元、332.72亿元，财政自给率13.21%、13.83%、12.79%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政府性基金收入方面，2023、2024、2025年分别为15.65亿元、12.93亿元、13.11亿元，政府性基金收入较2023年累计下降16%、土地财政贡献度弱化，反映地方综合财力对房地产周期的敞口。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图表：2023-2025年天水市财政收入情况(单位:亿元、%)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资料来源:天水市财政决算、企业预警通,风控信评部整理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土地市场方面，【待补充:天水市土地出让与房地产销售数据（土地市场数据库未覆盖该市）】。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天水市地方政府债务余额分别为371.59亿元、452.76亿元、534.66亿元，2025年末债务限额536.37亿元，债务余额控制在限额以内；城投有息债务2025年末估算余额30.69亿元。债务率指标看，2025年末政府债务率952.03%、城投债务率54.64%、宽口径债务率1006.68%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天水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