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定西市信用评级报告(区域部分)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定西经济总量列甘肃省第六位，人均GDP约—万元、人均经济实力居省内中游，经济增速维持在6.90%左右、总体平稳；固定资产投资最新增速6.20%，经济运行总体平稳。【待补充：定西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定西市2023、2024、2025年地区生产总值分别为689.80亿元、737.11亿元、793.94亿元，同比增长6.60%、6.76%、6.90%。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产业结构方面，2025年定西市三次产业结构为 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2023、2024、2025年固定资产投资增速分别为12.47%、12.96%、6.20%，2025年社会消费品零售总额291.76亿元，进出口总额1.32亿美元。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图表：2025年甘肃省各地级市主要经济指标对比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兰州市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3,903.60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1.93:32.51:65.56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260.91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庆阳市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1,235.32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12.03:49.09:38.88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95.06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酒泉市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1,103.60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14.6:45.4:40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天水市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980.88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18.4:20.6:61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武威市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802.27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定西市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793.94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白银市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789.23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17.36:37.76:44.88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平凉市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754.88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23.3:29.2:47.5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张掖市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734.35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25.1:20.3:54.6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陇南市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716.00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金昌市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670.24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5.5:68.4:26.1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临夏回族自治州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546.60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17.6:20.6:61.8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嘉峪关市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1.9:49:49.1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甘南藏族自治州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275.62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18.05:16.45:65.5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定西市2025年GDP总量793.94亿元、列全省第六位，一般公共预算收入33.04亿元、列全省第11位。整体来看，定西市经济基本面在甘肃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定西市财政体量在甘肃省处于中游，税收占比52.66%、税收占比处于一般水平，但政府性基金收入较2023年累计下降26%、土地财政贡献度弱化；2025年末宽口径债务率1137.90%、处于偏高水平，已显著高于公认的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定西市一般公共预算收入分别为32.60亿元、32.99亿元、33.04亿元，其中税收收入16.52亿元、16.80亿元、17.40亿元，税收占比维持在50.68%、50.93%、52.66%；一般公共预算支出334.90亿元、324.70亿元、326.96亿元，财政自给率9.73%、10.16%、10.11%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政府性基金收入方面，2023、2024、2025年分别为10.69亿元、8.80亿元、7.88亿元，政府性基金收入较2023年累计下降26%、土地财政贡献度弱化，反映地方综合财力对房地产周期的敞口。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图表：2023-2025年定西市财政收入情况(单位:亿元、%)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1.69%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50.68%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50.93%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52.66%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334.90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324.70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-3.05%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326.96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0.70%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9.73%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10.16%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10.11%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-17.68%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-10.45%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资料来源:定西市财政决算、企业预警通,风控信评部整理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土地市场方面，【待补充:定西市土地出让与房地产销售数据（土地市场数据库未覆盖该市）】。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定西市地方政府债务余额分别为343.30亿元、394.37亿元、448.87亿元，2025年末债务限额455.08亿元，债务余额控制在限额以内；城投有息债务2025年末估算余额19.02亿元。债务率指标看，2025年末政府债务率1091.65%、城投债务率46.25%、宽口径债务率1137.90%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定西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