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庆阳市信用评级报告(区域部分)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庆阳经济总量列甘肃省第二位，人均GDP约—万元、人均经济实力居省内中游，经济增速由8.50%回落至5.80%、有所放缓；固定资产投资最新增速10.00%，经济运行总体平稳。【待补充：庆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庆阳市2023、2024、2025年地区生产总值分别为1,163.86亿元、1,205.90亿元、1,235.32亿元，同比增长8.50%、4.50%、5.80%。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产业结构方面，2025年庆阳市三次产业结构为12.03:49.09:38.88。【待补充：支柱产业、主要龙头企业、对外贸易等定性描述（数据库未覆盖）】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2023、2024、2025年固定资产投资增速分别为21.56%、27.11%、10.00%，2025年社会消费品零售总额226.36亿元。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庆阳市2025年GDP总量1,235.32亿元、列全省第二位，一般公共预算收入95.06亿元、列全省第二位。整体来看，庆阳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庆阳市财政体量在甘肃省位居前列，税收占比56.67%、税收占比处于一般水平，但政府性基金收入总体平稳；2025年末宽口径债务率567.15%、处于偏高水平，已显著高于公认的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庆阳市一般公共预算收入分别为77.93亿元、91.10亿元、95.06亿元，其中税收收入57.11亿元、57.57亿元、53.87亿元，税收占比维持在73.28%、63.19%、56.67%；一般公共预算支出347.74亿元、356.89亿元、382.69亿元，财政自给率22.41%、25.53%、24.84%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政府性基金收入方面，2023、2024、2025年分别为22.83亿元、13.57亿元、21.37亿元，政府性基金收入总体平稳，反映地方综合财力对房地产周期的敞口。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图表：2023-2025年庆阳市财政收入情况(单位:亿元、%)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356.89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-40.56%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57.48%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资料来源:庆阳市财政决算、企业预警通,风控信评部整理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土地市场方面，【待补充:庆阳市土地出让与房地产销售数据（土地市场数据库未覆盖该市）】。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庆阳市地方政府债务余额分别为407.68亿元、475.05亿元、544.02亿元，2025年末债务限额554.43亿元，债务余额控制在限额以内；城投有息债务2025年末估算余额117.69亿元。债务率指标看，2025年末政府债务率466.28%、城投债务率100.87%、宽口径债务率567.15%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庆阳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