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张掖市信用评级报告(区域部分)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掖经济总量列甘肃省第九位，人均GDP约—万元、人均经济实力居省内中游，经济增速由6.00%回升至7.70%、动能边际改善；固定资产投资最新增速4.60%，经济运行总体平稳。【待补充：张掖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张掖市2023、2024、2025年地区生产总值分别为656.68亿元、683.94亿元、734.35亿元，同比增长6.00%、5.50%、7.70%。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产业结构方面，2025年张掖市三次产业结构为25.1:20.3:54.6。【待补充：支柱产业、主要龙头企业、对外贸易等定性描述（数据库未覆盖）】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2023、2024、2025年固定资产投资增速分别为2.12%、-3.24%、4.60%，2025年社会消费品零售总额289.73亿元，进出口总额0.77亿美元。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张掖市2025年GDP总量734.35亿元、列全省第九位，一般公共预算收入38.95亿元、列全省第六位。整体来看，张掖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张掖市财政体量在甘肃省处于中游，税收占比44.26%、税收占比处于一般水平，但政府性基金收入总体平稳；2025年末宽口径债务率64.41%、处于可控水平，整体处于可控水平。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张掖市一般公共预算收入分别为34.90亿元、36.29亿元、38.95亿元，其中税收收入15.05亿元、17.12亿元、17.24亿元，税收占比维持在43.11%、47.17%、44.26%；一般公共预算支出196.78亿元、206.02亿元、194.43亿元，财政自给率17.74%、17.61%、20.03%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政府性基金收入方面，2023、2024、2025年分别为9.41亿元、6.39亿元、8.69亿元，政府性基金收入总体平稳，反映地方综合财力对房地产周期的敞口。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图表：2023-2025年张掖市财政收入情况(单位:亿元、%)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35.99%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资料来源:张掖市财政决算、企业预警通,风控信评部整理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土地市场方面，【待补充:张掖市土地出让与房地产销售数据（土地市场数据库未覆盖该市）】。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张掖市地方政府债务余额分别为309.56亿元、333.40亿元、—亿元，2025年末债务限额377.51亿元，债务余额控制在限额以内；城投有息债务2025年末估算余额30.75亿元。债务率指标看，2025年末政府债务率—、城投债务率64.41%、宽口径债务率64.41%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张掖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