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白银市信用评级报告(区域部分)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银经济总量列甘肃省第七位，人均GDP约—万元、人均经济实力居省内中游，经济增速由7.00%回落至6.40%、有所放缓；固定资产投资最新增速13.30%，经济运行总体平稳。【待补充：白银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白银市2023、2024、2025年地区生产总值分别为706.16亿元、743.49亿元、789.23亿元，同比增长7.00%、5.50%、6.40%。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产业结构方面，2025年白银市三次产业结构为17.36:37.76:44.88。【待补充：支柱产业、主要龙头企业、对外贸易等定性描述（数据库未覆盖）】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2023、2024、2025年固定资产投资增速分别为13.35%、9.29%、13.30%，2025年社会消费品零售总额240.85亿元，进出口总额23.60亿美元。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白银市2025年GDP总量789.23亿元、列全省第七位，一般公共预算收入42.77亿元、列全省第四位。整体来看，白银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白银市财政体量在甘肃省处于中游，税收占比67.03%、税收质量较好，但政府性基金收入较2023年累计下降10%、土地财政贡献度弱化；2025年末宽口径债务率764.17%、处于偏高水平，已显著高于公认的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白银市一般公共预算收入分别为38.52亿元、40.13亿元、42.77亿元，其中税收收入25.33亿元、26.15亿元、28.67亿元，税收占比维持在65.77%、65.17%、67.03%；一般公共预算支出218.09亿元、224.24亿元、220.46亿元，财政自给率17.66%、17.89%、19.40%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政府性基金收入方面，2023、2024、2025年分别为14.48亿元、9.64亿元、12.98亿元，政府性基金收入较2023年累计下降10%、土地财政贡献度弱化，反映地方综合财力对房地产周期的敞口。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图表：2023-2025年白银市财政收入情况(单位:亿元、%)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-33.43%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资料来源:白银市财政决算、企业预警通,风控信评部整理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土地市场方面，【待补充:白银市土地出让与房地产销售数据（土地市场数据库未覆盖该市）】。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白银市地方政府债务余额分别为314.69亿元、347.12亿元、404.50亿元，2025年末债务限额410.62亿元，债务余额控制在限额以内；城投有息债务2025年末估算余额22.53亿元。债务率指标看，2025年末政府债务率723.85%、城投债务率40.32%、宽口径债务率764.17%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白银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