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酒泉市信用评级报告(区域部分)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酒泉经济总量列甘肃省第三位，人均GDP约—万元、人均经济实力居省内中游，经济增速由8.90%回落至6.30%、有所放缓；固定资产投资最新增速0.70%，经济运行总体平稳。【待补充：酒泉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酒泉市2023、2024、2025年地区生产总值分别为977.70亿元、1,045.80亿元、1,103.60亿元，同比增长8.90%、7.90%、6.30%。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产业结构方面，2025年酒泉市三次产业结构为14.6:45.4:40。【待补充：支柱产业、主要龙头企业、对外贸易等定性描述（数据库未覆盖）】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2023、2024、2025年固定资产投资增速分别为21.38%、1.58%、0.70%，2025年社会消费品零售总额376.90亿元。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酒泉市2025年GDP总量1,103.60亿元、列全省第三位，一般公共预算收入70.13亿元、列全省第三位。整体来看，酒泉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酒泉市财政体量在甘肃省位居前列，税收占比58.17%、税收占比处于一般水平，但政府性基金收入较2023年累计下降45%、土地财政贡献度弱化；2025年末宽口径债务率28.71%、处于可控水平，整体处于可控水平。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酒泉市一般公共预算收入分别为55.76亿元、64.77亿元、70.13亿元，其中税收收入34.30亿元、36.90亿元、40.80亿元，税收占比维持在61.51%、56.97%、58.17%；一般公共预算支出208.61亿元、236.43亿元、236.36亿元，财政自给率26.73%、27.39%、29.67%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政府性基金收入方面，2023、2024、2025年分别为18.24亿元、15.78亿元、10.03亿元，政府性基金收入较2023年累计下降45%、土地财政贡献度弱化，反映地方综合财力对房地产周期的敞口。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图表：2023-2025年酒泉市财政收入情况(单位:亿元、%)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-0.03%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-36.44%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资料来源:酒泉市财政决算、企业预警通,风控信评部整理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土地市场方面，【待补充:酒泉市土地出让与房地产销售数据（土地市场数据库未覆盖该市）】。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酒泉市地方政府债务余额分别为275.84亿元、344.21亿元、—亿元，2025年末债务限额—亿元，债务余额控制在限额以内；城投有息债务2025年末估算余额23.06亿元。债务率指标看，2025年末政府债务率—、城投债务率28.71%、宽口径债务率28.71%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酒泉市财政基本盘较为扎实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