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兰州市信用评级报告(区域部分)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兰州作为甘肃省省会，经济总量在甘肃省稳居第一，人均经济实力居省内中游，经济增速由4.39%回升至5.50%、动能边际改善；固定资产投资连续负增长（最新-2.80%），经济动能仍有待修复。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兰州市2023、2024、2025年地区生产总值分别为3,487.26亿元、3,742.25亿元、3,903.60亿元，同比增长4.39%、4.96%、5.50%。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产业结构方面，2025年兰州市三次产业结构为1.93:32.51:65.56，以石油化工、装备制造、有色冶金、生物医药为支柱，是西北重要的工业与交通枢纽。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2023、2024、2025年固定资产投资增速分别为-7.36%、-14.29%、-2.80%，2025年社会消费品零售总额1,474.30亿元，进出口总额20.01亿美元。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图表：2025年甘肃省各地级市主要经济指标对比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兰州市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3,903.60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1.93:32.51:65.56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260.91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庆阳市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1,235.32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12.03:49.09:38.88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95.06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酒泉市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1,103.60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14.6:45.4:40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天水市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980.88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18.4:20.6:61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武威市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802.27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定西市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793.94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白银市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789.23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17.36:37.76:44.88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平凉市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754.88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23.3:29.2:47.5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张掖市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734.35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25.1:20.3:54.6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陇南市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716.00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金昌市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670.24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5.5:68.4:26.1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临夏回族自治州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546.60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17.6:20.6:61.8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嘉峪关市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1.9:49:49.1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甘南藏族自治州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275.62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18.05:16.45:65.5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兰州市2025年GDP总量3,903.60亿元、列全省第一位，一般公共预算收入260.91亿元、列全省第一位。整体来看，兰州市经济基本面在甘肃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兰州市财政体量在甘肃省稳居第一，税收占比67.41%、税收质量较好，但政府性基金收入较2023年累计增长57%；2025年末宽口径债务率969.48%、处于偏高水平，已显著高于公认的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兰州市一般公共预算收入分别为255.33亿元、251.91亿元、260.91亿元，其中税收收入197.53亿元、175.19亿元、175.88亿元，税收占比维持在77.36%、69.55%、67.41%；一般公共预算支出502.92亿元、547.64亿元、588.46亿元，财政自给率50.77%、46.00%、44.34%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政府性基金收入方面，2023、2024、2025年分别为64.57亿元、132.20亿元、101.33亿元，政府性基金收入较2023年累计增长57%，反映地方综合财力对房地产周期的敞口。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图表：2023-2025年兰州市财政收入情况(单位:亿元、%)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255.33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15.55%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251.91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-1.34%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260.91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197.53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175.19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-11.31%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175.88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0.39%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77.36%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69.55%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67.41%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502.92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547.64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8.89%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588.46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7.45%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50.77%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44.34%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104.74%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101.33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-23.35%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资料来源:兰州市财政决算、企业预警通,风控信评部整理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土地市场方面，【待补充:兰州市土地出让与房地产销售数据（土地市场数据库未覆盖该市）】。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兰州市地方政府债务余额分别为1,145.87亿元、1,609.72亿元、1,979.51亿元，2025年末债务限额1,999.73亿元，债务余额控制在限额以内；城投有息债务2025年末估算余额1,731.86亿元。债务率指标看，2025年末政府债务率517.08%、城投债务率452.39%、宽口径债务率969.48%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兰州市财政基本盘较为扎实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