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嘉峪关市信用评级报告(区域部分)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嘉峪关作为甘肃省下辖地级市，经济总量列甘肃省第13位，人均GDP约12.40万元、人均经济实力居全省中游，经济增速由7.70%回落至6.50%、有所放缓；固定资产投资最新增速转负（-11.60%），经济动能仍有待修复。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嘉峪关市2023、2024、2025年地区生产总值分别为339.72亿元、369.80亿元、391.00亿元，同比增长7.70%、8.10%、6.50%。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产业结构方面，2025年嘉峪关市三次产业结构为1.9:49:49.1，第三产业占主导、服务业是经济主体。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2023、2024、2025年固定资产投资增速分别为13.33%、6.07%、-11.60%，2025年社会消费品零售总额83.00亿元。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嘉峪关市2025年GDP总量391.00亿元、列全省第13位，一般公共预算收入30.49亿元、列全省第12位。整体来看，嘉峪关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嘉峪关市财政体量在甘肃省处于中游，税收占比71.17%、税收质量较好，但政府性基金收入较2023年累计下降40%、土地财政贡献度弱化；2025年末宽口径债务率142.26%、处于可控水平，整体处于可控水平。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嘉峪关市一般公共预算收入分别为27.11亿元、29.38亿元、30.49亿元，其中税收收入18.51亿元、20.03亿元、21.70亿元，税收占比维持在68.28%、68.17%、71.17%；一般公共预算支出41.34亿元、45.55亿元、45.66亿元，财政自给率65.58%、64.50%、66.78%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政府性基金收入方面，2023、2024、2025年分别为3.45亿元、3.57亿元、2.06亿元，政府性基金收入较2023年累计下降40%、土地财政贡献度弱化，反映地方综合财力对房地产周期的敞口。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图表：2023-2025年嘉峪关市财政收入情况(单位:亿元、%)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-42.30%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资料来源:嘉峪关市财政决算、企业预警通,风控信评部整理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土地市场方面，【待补充:嘉峪关市土地出让与房地产销售数据（土地市场数据库未覆盖该市）】。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嘉峪关市地方政府债务余额分别为67.55亿元、73.29亿元、—亿元，2025年末债务限额—亿元，债务余额控制在限额以内；城投有息债务2025年末估算余额46.30亿元。债务率指标看，2025年末政府债务率—、城投债务率142.26%、宽口径债务率142.26%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嘉峪关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