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天水市信用评级报告(区域部分)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天水作为甘肃省下辖地级市，经济总量列甘肃省第四位，人均经济实力居省内中游，经济增速由5.40%回落至3.10%、有所放缓；固定资产投资连续负增长（最新-19.40%），经济动能仍有待修复。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天水市2023、2024、2025年地区生产总值分别为885.55亿元、954.64亿元、980.88亿元，同比增长5.40%、6.40%、3.10%。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产业结构方面，2025年天水市三次产业结构为18.4:20.6:61，第三产业占主导、服务业是经济主体，农业基础较好。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2023、2024、2025年固定资产投资增速分别为-12.78%、11.94%、-19.40%，2025年社会消费品零售总额331.42亿元，进出口总额4.03亿美元。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天水市2025年GDP总量980.88亿元、列全省第四位，一般公共预算收入42.56亿元、列全省第五位。整体来看，天水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天水市财政体量在甘肃省处于中游，税收占比—、税收占比处于一般水平，但政府性基金收入较2023年累计下降16%、土地财政贡献度弱化；2025年末宽口径债务率1006.68%、处于偏高水平，已显著高于公认的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天水市一般公共预算收入分别为46.34亿元、47.00亿元、42.56亿元，其中税收收入29.12亿元、28.96亿元、—亿元，税收占比维持在62.84%、61.62%、—；一般公共预算支出350.79亿元、339.88亿元、332.72亿元，财政自给率13.21%、13.83%、12.79%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政府性基金收入方面，2023、2024、2025年分别为15.65亿元、12.93亿元、13.11亿元，政府性基金收入较2023年累计下降16%、土地财政贡献度弱化，反映地方综合财力对房地产周期的敞口。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图表：2023-2025年天水市财政收入情况(单位:亿元、%)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350.79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资料来源:天水市财政决算、企业预警通,风控信评部整理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土地市场方面，【待补充:天水市土地出让与房地产销售数据（土地市场数据库未覆盖该市）】。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天水市地方政府债务余额分别为371.59亿元、452.76亿元、534.66亿元，2025年末债务限额536.37亿元，债务余额控制在限额以内；城投有息债务2025年末估算余额30.69亿元。债务率指标看，2025年末政府债务率952.03%、城投债务率54.64%、宽口径债务率1006.68%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天水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