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庆阳市信用评级报告(区域部分)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庆阳作为甘肃省下辖地级市，经济总量列甘肃省第二位，人均经济实力居省内中游，经济增速由8.50%回落至5.80%、有所放缓；固定资产投资最新增速10.00%，经济运行总体平稳。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庆阳市2023、2024、2025年地区生产总值分别为1,163.86亿元、1,205.90亿元、1,235.32亿元，同比增长8.50%、4.50%、5.80%。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产业结构方面，2025年庆阳市三次产业结构为12.03:49.09:38.88，第二产业占比较高、工业是经济支柱。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2023、2024、2025年固定资产投资增速分别为21.56%、27.11%、10.00%，2025年社会消费品零售总额226.36亿元。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庆阳市2025年GDP总量1,235.32亿元、列全省第二位，一般公共预算收入95.06亿元、列全省第二位。整体来看，庆阳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庆阳市财政体量在甘肃省位居前列，税收占比56.67%、税收占比处于一般水平，但政府性基金收入总体平稳；2025年末宽口径债务率567.15%、处于偏高水平，已显著高于公认的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庆阳市一般公共预算收入分别为77.93亿元、91.10亿元、95.06亿元，其中税收收入57.11亿元、57.57亿元、53.87亿元，税收占比维持在73.28%、63.19%、56.67%；一般公共预算支出347.74亿元、356.89亿元、382.69亿元，财政自给率22.41%、25.53%、24.84%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政府性基金收入方面，2023、2024、2025年分别为22.83亿元、13.57亿元、21.37亿元，政府性基金收入总体平稳，反映地方综合财力对房地产周期的敞口。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图表：2023-2025年庆阳市财政收入情况(单位:亿元、%)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-6.43%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356.89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-40.56%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57.48%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资料来源:庆阳市财政决算、企业预警通,风控信评部整理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土地市场方面，【待补充:庆阳市土地出让与房地产销售数据（土地市场数据库未覆盖该市）】。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庆阳市地方政府债务余额分别为407.68亿元、475.05亿元、544.02亿元，2025年末债务限额554.43亿元，债务余额控制在限额以内；城投有息债务2025年末估算余额117.69亿元。债务率指标看，2025年末政府债务率466.28%、城投债务率100.87%、宽口径债务率567.15%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庆阳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