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白银市信用评级报告(区域部分)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白银作为甘肃省下辖地级市，经济总量列甘肃省第七位，人均经济实力居省内中游，经济增速由7.00%回落至6.40%、有所放缓；固定资产投资最新增速13.30%，经济运行总体平稳。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白银市2023、2024、2025年地区生产总值分别为706.16亿元、743.49亿元、789.23亿元，同比增长7.00%、5.50%、6.40%。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产业结构方面，2025年白银市三次产业结构为17.36:37.76:44.88，第三产业占主导、服务业是经济主体，农业基础较好。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2023、2024、2025年固定资产投资增速分别为13.35%、9.29%、13.30%，2025年社会消费品零售总额240.85亿元，进出口总额23.60亿美元。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白银市2025年GDP总量789.23亿元、列全省第七位，一般公共预算收入42.77亿元、列全省第四位。整体来看，白银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白银市财政体量在甘肃省处于中游，税收占比67.03%、税收质量较好，但政府性基金收入较2023年累计下降10%、土地财政贡献度弱化；2025年末宽口径债务率764.17%、处于偏高水平，已显著高于公认的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白银市一般公共预算收入分别为38.52亿元、40.13亿元、42.77亿元，其中税收收入25.33亿元、26.15亿元、28.67亿元，税收占比维持在65.77%、65.17%、67.03%；一般公共预算支出218.09亿元、224.24亿元、220.46亿元，财政自给率17.66%、17.89%、19.40%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政府性基金收入方面，2023、2024、2025年分别为14.48亿元、9.64亿元、12.98亿元，政府性基金收入较2023年累计下降10%、土地财政贡献度弱化，反映地方综合财力对房地产周期的敞口。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图表：2023-2025年白银市财政收入情况(单位:亿元、%)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-33.43%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资料来源:白银市财政决算、企业预警通,风控信评部整理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土地市场方面，【待补充:白银市土地出让与房地产销售数据（土地市场数据库未覆盖该市）】。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白银市地方政府债务余额分别为314.69亿元、347.12亿元、404.50亿元，2025年末债务限额410.62亿元，债务余额控制在限额以内；城投有息债务2025年末估算余额22.53亿元。债务率指标看，2025年末政府债务率723.85%、城投债务率40.32%、宽口径债务率764.17%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白银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