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酒泉市信用评级报告(区域部分)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酒泉作为甘肃省下辖地级市，经济总量列甘肃省第三位，人均经济实力居省内中游，经济增速由8.90%回落至6.30%、有所放缓；固定资产投资最新增速0.70%，经济运行总体平稳。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酒泉市2023、2024、2025年地区生产总值分别为977.70亿元、1,045.80亿元、1,103.60亿元，同比增长8.90%、7.90%、6.30%。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产业结构方面，2025年酒泉市三次产业结构为14.6:45.4:40，第二产业占比较高、工业是经济支柱。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2023、2024、2025年固定资产投资增速分别为21.38%、1.58%、0.70%，2025年社会消费品零售总额376.90亿元。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酒泉市2025年GDP总量1,103.60亿元、列全省第三位，一般公共预算收入70.13亿元、列全省第三位。整体来看，酒泉市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酒泉市财政体量在甘肃省位居前列，税收占比58.17%、税收占比处于一般水平，但政府性基金收入较2023年累计下降45%、土地财政贡献度弱化；2025年末宽口径债务率28.71%、处于可控水平，整体处于可控水平。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酒泉市一般公共预算收入分别为55.76亿元、64.77亿元、70.13亿元，其中税收收入34.30亿元、36.90亿元、40.80亿元，税收占比维持在61.51%、56.97%、58.17%；一般公共预算支出208.61亿元、236.43亿元、236.36亿元，财政自给率26.73%、27.39%、29.67%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政府性基金收入方面，2023、2024、2025年分别为18.24亿元、15.78亿元、10.03亿元，政府性基金收入较2023年累计下降45%、土地财政贡献度弱化，反映地方综合财力对房地产周期的敞口。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图表：2023-2025年酒泉市财政收入情况(单位:亿元、%)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-0.03%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-36.44%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资料来源:酒泉市财政决算、企业预警通,风控信评部整理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土地市场方面，【待补充:酒泉市土地出让与房地产销售数据（土地市场数据库未覆盖该市）】。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酒泉市地方政府债务余额分别为275.84亿元、344.21亿元、—亿元，2025年末债务限额—亿元，债务余额控制在限额以内；城投有息债务2025年末估算余额23.06亿元。债务率指标看，2025年末政府债务率—、城投债务率28.71%、宽口径债务率28.71%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酒泉市财政基本盘较为扎实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