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金昌市信用评级报告(区域部分)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金昌作为甘肃省下辖地级市，经济总量列甘肃省第11位，人均GDP约15.70万元、人均经济实力居全省前列，经济增速由11.50%回落至9.30%、有所放缓；固定资产投资最新增速8.50%，经济运行总体平稳。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金昌市2023、2024、2025年地区生产总值分别为532.26亿元、617.49亿元、670.24亿元，同比增长11.50%、13.50%、9.30%。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产业结构方面，2025年金昌市三次产业结构为5.5:68.4:26.1，第二产业占比较高、工业是经济支柱。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2023、2024、2025年固定资产投资增速分别为24.21%、7.44%、8.50%，2025年社会消费品零售总额98.77亿元，进出口总额40.85亿美元。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图表：2025年甘肃省各地级市主要经济指标对比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1.93:32.51:65.56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庆阳市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12.03:49.09:38.88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酒泉市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14.6:45.4:40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天水市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18.4:20.6:61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定西市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17.36:37.76:44.88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23.3:29.2:47.5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25.1:20.3:54.6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陇南市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5.5:68.4:26.1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临夏回族自治州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17.6:20.6:61.8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嘉峪关市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18.05:16.45:65.5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金昌市2025年GDP总量670.24亿元、列全省第11位，一般公共预算收入37.02亿元、列全省第八位。整体来看，金昌市经济基本面在甘肃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金昌市财政体量在甘肃省处于中游，税收占比78.11%、税收质量较好，但政府性基金收入总体平稳；2025年末宽口径债务率456.25%、处于偏高水平，已显著高于公认的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金昌市一般公共预算收入分别为31.01亿元、33.18亿元、37.02亿元，其中税收收入24.60亿元、26.65亿元、28.92亿元，税收占比维持在79.33%、80.30%、78.11%；一般公共预算支出85.63亿元、97.59亿元、92.00亿元，财政自给率36.22%、34.00%、40.24%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政府性基金收入方面，2023、2024、2025年分别为4.45亿元、6.90亿元、4.09亿元，政府性基金收入总体平稳，反映地方综合财力对房地产周期的敞口。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图表：2023-2025年金昌市财政收入情况(单位:亿元、%)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-5.73%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-40.72%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资料来源:金昌市财政决算、企业预警通,风控信评部整理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土地市场方面，【待补充:金昌市土地出让与房地产销售数据（土地市场数据库未覆盖该市）】。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金昌市地方政府债务余额分别为116.78亿元、128.28亿元、147.14亿元，2025年末债务限额151.28亿元，债务余额控制在限额以内；城投有息债务2025年末估算余额40.52亿元。债务率指标看，2025年末政府债务率357.75%、城投债务率98.51%、宽口径债务率456.25%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金昌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