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三明市信用评级报告(区域部分)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三明作为福建省下辖地级市，经济总量列福建省第八位，人均GDP约12.50万元、人均经济实力居全省中游，经济增速由1.10%回落至-4.30%、有所放缓；固定资产投资最新增速6.80%，经济运行总体平稳。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三明市2023、2024、2025年地区生产总值分别为2,806.52亿元、2,651.61亿元、2,511.98亿元，同比增长1.10%、5.44%、-4.30%。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产业结构方面，三明作为福建省下辖地级市，区域产业结构以本地优势产业为主。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2023、2024年固定资产投资增速分别为2.80%、6.80%，2025年社会消费品零售总额878.08亿元，进出口总额14.46亿美元。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图表：2025年福建省各地级市主要经济指标对比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15,112.32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5:36:59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750.55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泉州市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13,778.34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2:50.5:47.5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厦门市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8,980.37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0.3:37.8:61.9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6,154.12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9.9:43.8:46.3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4,251.72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10.1:54.6:35.2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317.30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莆田市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3,579.52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4.4:45:50.6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龙岩市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3,578.55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9:41.3:49.7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266.80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2,511.98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18.4:32.4:49.2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三明市2025年GDP总量2,511.98亿元、列全省第八位，一般公共预算收入120.12亿元、列全省第八位。整体来看，三明市经济基本面在福建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三明市财政体量在福建省处于中游，税收占比—、税收占比处于一般水平，但政府性基金收入较2023年累计下降14%、土地财政贡献度弱化；2025年末宽口径债务率1228.53%、处于偏高水平，已显著高于公认的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三明市一般公共预算收入分别为117.97亿元、117.13亿元、120.12亿元，其中税收收入68.55亿元、67.71亿元、—亿元，税收占比维持在58.11%、57.81%、—；一般公共预算支出361.44亿元、398.20亿元、381.44亿元，财政自给率32.64%、29.41%、31.49%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政府性基金收入方面，2023、2024、2025年分别为31.61亿元、29.74亿元、27.24亿元，政府性基金收入较2023年累计下降14%、土地财政贡献度弱化，反映地方综合财力对房地产周期的敞口。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图表：2023-2025年三明市财政收入情况(单位:亿元、%)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361.44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398.20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-4.21%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-8.41%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资料来源:三明市财政决算、企业预警通,风控信评部整理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土地市场方面，【待补充:三明市土地出让与房地产销售数据（土地市场数据库未覆盖该市）】。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三明市地方政府债务余额分别为828.44亿元、950.88亿元、1,087.42亿元，2025年末债务限额1,113.42亿元，债务余额控制在限额以内；城投有息债务2025年末估算余额766.06亿元。债务率指标看，2025年末政府债务率720.77%、城投债务率507.76%、宽口径债务率1228.53%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三明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