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南平市信用评级报告(区域部分)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南平作为福建省下辖地级市，经济总量列福建省第九位，人均GDP约8.38万元、人均经济实力在省内相对靠后，经济增速由3.80%回升至5.00%、动能边际改善；固定资产投资最新增速转负（-10.50%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南平市2023、2024、2025年地区生产总值分别为2,270.00亿元、2,096.69亿元、2,189.73亿元，同比增长3.80%、5.50%、5.00%。截至2025年末，全市常住人口260.40万人，人均GDP约8.38万元。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产业结构方面，2025年南平市三次产业结构为18.4:32.4:49.2，第三产业占主导、服务业是经济主体，农业基础较好。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2023、2024、2025年固定资产投资增速分别为2.70%、6.00%、-10.50%，2025年社会消费品零售总额830.42亿元，进出口总额16.12亿美元。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图表：2025年福建省各地级市主要经济指标对比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15,112.32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5:36:59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750.55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泉州市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13,778.34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2:50.5:47.5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厦门市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8,980.37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0.3:37.8:61.9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6,154.12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9.9:43.8:46.3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4,251.72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10.1:54.6:35.2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317.30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莆田市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3,579.52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4.4:45:50.6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龙岩市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3,578.55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9:41.3:49.7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266.80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2,511.98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18.4:32.4:49.2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南平市2025年GDP总量2,189.73亿元、列全省第九位，一般公共预算收入119.21亿元、列全省第九位。整体来看，南平市经济基本面在福建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南平市财政体量在福建省处于中游，税收占比52.83%、税收占比处于一般水平，但政府性基金收入较2023年累计下降16%、土地财政贡献度弱化；2025年末宽口径债务率1094.95%、处于偏高水平，已显著高于公认的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南平市一般公共预算收入分别为113.37亿元、114.84亿元、119.21亿元，其中税收收入59.23亿元、61.55亿元、62.98亿元，税收占比维持在52.24%、53.60%、52.83%；一般公共预算支出366.30亿元、402.84亿元、389.42亿元，财政自给率30.95%、28.51%、30.61%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政府性基金收入方面，2023、2024、2025年分别为68.04亿元、64.27亿元、57.48亿元，政府性基金收入较2023年累计下降16%、土地财政贡献度弱化，反映地方综合财力对房地产周期的敞口。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图表：2023-2025年南平市财政收入情况(单位:亿元、%)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402.84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389.42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-3.33%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-10.56%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资料来源:南平市财政决算、企业预警通,风控信评部整理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土地市场方面，【待补充:南平市土地出让与房地产销售数据（土地市场数据库未覆盖该市）】。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南平市地方政府债务余额分别为938.88亿元、1,117.21亿元、1,356.44亿元，2025年末债务限额1,371.22亿元，债务余额控制在限额以内；城投有息债务2025年末估算余额642.85亿元。债务率指标看，2025年末政府债务率742.88%、城投债务率352.07%、宽口径债务率1094.95%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南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