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厦门市信用评级报告(区域部分)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厦门作为我国经济特区和计划单列市，经济总量列福建省第三位，人均GDP约16.74万元、人均经济实力居全省前列，经济增速由3.10%回升至5.70%、动能边际改善；固定资产投资连续负增长（最新-9.00%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厦门市2023、2024、2025年地区生产总值分别为8,142.93亿元、8,589.01亿元、8,980.37亿元，同比增长3.10%、5.46%、5.70%。截至2025年末，全市常住人口536.50万人，人均GDP约16.74万元（按当年GDP与常住人口估算）。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厦门市三次产业结构为0.3:37.8:61.9，第二产业以电子信息、机械装备、平板显示、新能源新材料为支柱，第三产业以港口物流、金融、旅游会展为依托，聚集厦门钨业、宁德时代厦门基地、戴尔、建发、国贸、象屿等企业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2023、2024、2025年固定资产投资增速分别为0.50%、-5.70%、-9.00%，2025年社会消费品零售总额3,448.60亿元，进出口总额1,344.02亿美元。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图表：2025年福建省各地级市主要经济指标对比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15,112.32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5:36:59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泉州市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13,778.34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2:50.5:47.5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厦门市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8,980.37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0.3:37.8:61.9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6,154.12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9.9:43.8:46.3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4,251.72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10.1:54.6:35.2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317.30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莆田市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3,579.52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4.4:45:50.6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龙岩市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3,578.55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9:41.3:49.7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266.80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2,511.98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18.4:32.4:49.2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厦门市2025年GDP总量8,980.37亿元、列全省第三位，一般公共预算收入961.08亿元、列全省第一位。整体来看，厦门市经济基本面在福建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厦门市财政体量在福建省稳居第一，税收占比70.29%、税收质量较好，但政府性基金收入较2023年累计下降53%、土地财政贡献度弱化；2025年末宽口径债务率437.72%、处于偏高水平，已显著高于公认的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厦门市一般公共预算收入分别为932.14亿元、933.35亿元、961.08亿元，其中税收收入665.07亿元、653.89亿元、675.52亿元，税收占比维持在71.35%、70.06%、70.29%；一般公共预算支出1,084.65亿元、1,059.20亿元、1,076.56亿元，财政自给率85.94%、88.12%、89.27%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政府性基金收入方面，2023、2024、2025年分别为675.59亿元、423.68亿元、317.77亿元，政府性基金收入较2023年累计下降53%、土地财政贡献度弱化，反映地方综合财力对房地产周期的敞口。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图表：2023-2025年厦门市财政收入情况(单位:亿元、%)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653.89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675.52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1,084.65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1,076.56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675.59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-37.29%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-25.00%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资料来源:厦门市财政决算、企业预警通,风控信评部整理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厦门市经营性用地成交价分别为820.43亿元、654.49亿元、433.89亿元、329.89亿元、364.69亿元，2025年较2021年下降55.55%；同期平均溢价率为17.26%、2.60%、5.15%、2.98%、1.81%；成交楼面均价由11,585元/㎡降至2,998元/㎡、累计下降74.12%。2026年1-4月，厦门市经营性用地累计成交26宗、规划建面253.47万㎡、成交价46.71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图表:2021-2025年厦门市土地出让情况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708.19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11,585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17.26%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820.43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1,567.78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4,175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654.49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1,177.89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433.89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975.45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329.89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1,216.37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364.69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253.47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46.71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厦门市商品住宅成交面积由361.85万㎡变动至141.20万㎡、累计下降61.0%；新房均价2025年为34,103元/㎡、较2023年高点(43,794元/㎡)累计下跌22.13%；2025年去化周期26.41个月。据中指冰山指数(最低挂牌价口径)，厦门二手房挂牌价较2022年8月高点累计下跌45.03%，2023年累计跌幅-9.48%、2024年累计跌幅-16.43%、2025年累计跌幅-21.88%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厦门市地方政府债务余额分别为2,120.76亿元、2,639.68亿元、3,197.69亿元，2025年末债务限额3,270.10亿元，债务余额控制在限额以内；城投有息债务2025年末估算余额2,440.37亿元。债务率指标看，2025年末政府债务率248.26%、城投债务率189.46%、宽口径债务率437.72%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厦门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