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泉州市信用评级报告(区域部分)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泉州作为福建省下辖地级市，经济总量列福建省第二位，人均GDP约15.00万元、人均经济实力居全省前列，经济增速由4.78%回升至5.30%、动能边际改善；固定资产投资最新增速1.10%，经济运行总体平稳。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泉州市2023、2024、2025年地区生产总值分别为12,259.01亿元、13,094.87亿元、13,778.34亿元，同比增长4.78%、6.47%、5.30%。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产业结构方面，2025年泉州市三次产业结构为2:50.5:47.5，以纺织鞋服、建材石化、机械装备等民营制造业为特色，“晋江模式”发源地，聚集安踏、恒安、特步等品牌企业。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2023、2024、2025年固定资产投资增速分别为11.50%、7.00%、1.10%，2025年社会消费品零售总额6,416.07亿元，进出口总额330.93亿美元。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泉州市2025年GDP总量13,778.34亿元、列全省第二位，一般公共预算收入592.07亿元、列全省第三位。整体来看，泉州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泉州市财政体量在福建省位居前列，税收占比63.64%、税收质量较好，但政府性基金收入较2023年累计下降21%、土地财政贡献度弱化；2025年末宽口径债务率838.20%、处于偏高水平，已显著高于公认的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泉州市一般公共预算收入分别为580.79亿元、572.80亿元、592.07亿元，其中税收收入389.46亿元、371.48亿元、376.77亿元，税收占比维持在67.06%、64.85%、63.64%；一般公共预算支出850.27亿元、841.76亿元、882.13亿元，财政自给率68.31%、68.05%、67.12%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政府性基金收入方面，2023、2024、2025年分别为370.71亿元、318.47亿元、292.07亿元，政府性基金收入较2023年累计下降21%、土地财政贡献度弱化，反映地方综合财力对房地产周期的敞口。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图表：2023-2025年泉州市财政收入情况(单位:亿元、%)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580.79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-8.29%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资料来源:泉州市财政决算、企业预警通,风控信评部整理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泉州市经营性用地成交价分别为380.60亿元、374.32亿元、286.67亿元、305.92亿元、283.71亿元，2025年较2021年下降25.46%；同期平均溢价率为20.44%、4.11%、7.78%、1.71%、2.73%；成交楼面均价由1,418元/㎡降至1,221元/㎡、累计下降13.89%。2026年1-4月，泉州市经营性用地累计成交94宗、规划建面550.66万㎡、成交价30.59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图表:2021-2025年泉州市土地出让情况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2,683.55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380.60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3,055.56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374.32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2,349.78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286.67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2,358.96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305.92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2,321.90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283.71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550.66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泉州市商品住宅成交面积由863.79万㎡变动至64.40万㎡、累计下降92.5%；新房均价2025年为13,950元/㎡。据中指冰山指数(最低挂牌价口径)，泉州二手房挂牌价较2022年8月高点累计下跌32.40%，2023年累计跌幅-6.32%、2024年累计跌幅-12.22%、2025年累计跌幅-13.99%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泉州市地方政府债务余额分别为2,342.54亿元、2,661.15亿元、2,938.77亿元，2025年末债务限额3,010.98亿元，债务余额控制在限额以内；城投有息债务2025年末估算余额4,573.09亿元。债务率指标看，2025年末政府债务率327.92%、城投债务率510.28%、宽口径债务率838.20%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泉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