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莆田市信用评级报告(区域部分)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莆田作为福建省下辖地级市，经济总量列福建省第六位，人均GDP约11.23万元、人均经济实力在省内相对靠后，经济增速由4.10%回升至5.30%、动能边际改善；固定资产投资最新增速转负（-0.90%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莆田市2023、2024、2025年地区生产总值分别为3,283.34亿元、3,383.60亿元、3,579.52亿元，同比增长4.10%、5.40%、5.30%。截至2025年末，全市常住人口318.40万人，人均GDP约11.23万元。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产业结构方面，2025年莆田市三次产业结构为4.4:45:50.6，第三产业占主导、服务业是经济主体。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2023、2024、2025年固定资产投资增速分别为1.60%、2.10%、-0.90%，2025年社会消费品零售总额3,044.25亿元，进出口总额85.56亿美元。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图表：2025年福建省各地级市主要经济指标对比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福州市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15,112.32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5:36:59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750.55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852.10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泉州市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13,778.34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2:50.5:47.5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592.07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厦门市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8,980.37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0.3:37.8:61.9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961.08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536.50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漳州市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6,154.12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9.9:43.8:46.3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285.45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508.40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宁德市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4,251.72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10.1:54.6:35.2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271.45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317.30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莆田市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3,579.52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4.4:45:50.6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170.60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318.40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龙岩市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3,578.55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9:41.3:49.7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181.37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266.80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三明市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2,511.98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120.12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2,189.73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18.4:32.4:49.2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119.21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260.40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莆田市2025年GDP总量3,579.52亿元、列全省第六位，一般公共预算收入170.60亿元、列全省第七位。整体来看，莆田市经济基本面在福建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莆田市财政体量在福建省处于中游，税收占比54.45%、税收占比处于一般水平，但政府性基金收入较2023年累计增长28%；2025年末宽口径债务率740.21%、处于偏高水平，已显著高于公认的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莆田市一般公共预算收入分别为162.81亿元、157.59亿元、170.60亿元，其中税收收入100.33亿元、90.07亿元、92.90亿元，税收占比维持在61.62%、57.15%、54.45%；一般公共预算支出266.32亿元、305.33亿元、328.90亿元，财政自给率61.13%、51.62%、51.87%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政府性基金收入方面，2023、2024、2025年分别为85.51亿元、110.42亿元、109.20亿元，政府性基金收入较2023年累计增长28%，反映地方综合财力对房地产周期的敞口。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图表：2023-2025年莆田市财政收入情况(单位:亿元、%)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162.81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157.59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-3.21%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170.60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8.26%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100.33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-10.23%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92.90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61.62%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57.15%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54.45%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266.32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305.33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14.65%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328.90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7.72%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61.13%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51.62%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51.87%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110.42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29.13%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-1.10%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资料来源:莆田市财政决算、企业预警通,风控信评部整理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土地市场方面，【待补充:莆田市土地出让与房地产销售数据（土地市场数据库未覆盖该市）】。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莆田市地方政府债务余额分别为1,192.27亿元、1,308.59亿元、1,454.78亿元，2025年末债务限额1,478.23亿元，债务余额控制在限额以内；城投有息债务2025年末估算余额796.94亿元。债务率指标看，2025年末政府债务率478.23%、城投债务率261.98%、宽口径债务率740.21%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莆田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