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山南市信用评级报告(区域部分)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山南作为西藏自治区下辖地级市，经济总量列西藏自治区第四位，人均GDP约9.20万元、人均经济实力居全省中游，经济增速由9.40%回落至6.90%、有所放缓；固定资产投资最新增速21.20%，经济运行总体平稳。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山南市2023、2024、2025年地区生产总值分别为281.64亿元、304.42亿元、331.80亿元，同比增长9.40%、5.80%、6.90%。截至2025年末，全市常住人口36.40万人，人均GDP约9.20万元。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产业结构方面，2025年山南市三次产业结构为6.4:44.8:48.8，第三产业占主导、服务业是经济主体。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2023、2024、2025年固定资产投资增速分别为14.40%、-9.10%、21.20%，2025年社会消费品零售总额90.11亿元，进出口总额0.04亿美元。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山南市2025年GDP总量331.80亿元、列全省第四位，一般公共预算收入22.26亿元、列全省第四位。整体来看，山南市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山南市财政体量在西藏自治区处于中游，税收占比69.77%、税收质量较好，但政府性基金收入较2023年累计增长41%；2025年末宽口径债务率357.36%、处于偏高水平，已显著高于公认的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山南市一般公共预算收入分别为20.10亿元、21.40亿元、22.26亿元，其中税收收入14.47亿元、14.54亿元、15.53亿元，税收占比维持在72.00%、67.95%、69.77%；一般公共预算支出282.37亿元、284.50亿元、305.29亿元，财政自给率7.12%、7.52%、7.29%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政府性基金收入方面，2023、2024、2025年分别为2.55亿元、2.36亿元、3.59亿元，政府性基金收入较2023年累计增长41%，反映地方综合财力对房地产周期的敞口。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图表：2023-2025年山南市财政收入情况(单位:亿元、%)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资料来源:山南市财政决算、企业预警通,风控信评部整理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土地市场方面，【待补充:山南市土地出让与房地产销售数据（土地市场数据库未覆盖该市）】。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山南市地方政府债务余额分别为76.47亿元、85.11亿元、94.95亿元，2025年末债务限额96.68亿元，债务余额控制在限额以内；城投有息债务2025年末估算余额—亿元。债务率指标看，2025年末政府债务率357.36%、城投债务率—、宽口径债务率357.36%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山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