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拉萨市信用评级报告(区域部分)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拉萨作为西藏自治区首府，经济总量在西藏自治区稳居第一，人均GDP约12.40万元、人均经济实力居全省前列，经济增速由9.60%回落至6.70%、有所放缓；固定资产投资最新增速6.00%，经济运行总体平稳。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拉萨市2023、2024、2025年地区生产总值分别为834.79亿元、990.04亿元、1,090.99亿元，同比增长9.60%、6.70%、6.70%。截至2025年末，全市常住人口88.30万人，人均GDP约12.40万元。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产业结构方面，2025年拉萨市三次产业结构为3.4:42.9:53.7，以特色文化旅游、藏医药、清洁能源、高原特色农牧为支柱。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2023、2024、2025年固定资产投资增速分别为45.00%、21.40%、6.00%，2025年社会消费品零售总额550.44亿元，进出口总额7.94亿美元。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图表：2025年西藏自治区各地级市主要经济指标对比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拉萨市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1,090.99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3.4:42.9:53.7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144.90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88.30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日喀则市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509.87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17.1:31.2:51.7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82.10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昌都市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424.86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13.1:40.7:46.2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77.20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山南市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331.80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6.4:44.8:48.8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林芝市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292.34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6.98:35.89:57.13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阿里地区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114.21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那曲市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拉萨市2025年GDP总量1,090.99亿元、列全省第一位，一般公共预算收入144.90亿元、列全省第一位。整体来看，拉萨市经济基本面在西藏自治区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拉萨市财政体量在西藏自治区稳居第一，税收占比86.86%、税收质量较好，但政府性基金收入总体平稳；2025年末宽口径债务率332.90%、处于偏高水平，已显著高于公认的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拉萨市一般公共预算收入分别为109.14亿元、120.64亿元、144.90亿元，其中税收收入94.25亿元、101.37亿元、125.86亿元，税收占比维持在86.36%、84.03%、86.86%；一般公共预算支出452.12亿元、465.35亿元、485.80亿元，财政自给率24.14%、25.92%、29.83%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政府性基金收入方面，2023、2024、2025年分别为20.46亿元、21.80亿元、20.07亿元，政府性基金收入总体平稳，反映地方综合财力对房地产周期的敞口。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图表：2023-2025年拉萨市财政收入情况(单位:亿元、%)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109.14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50.59%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120.64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10.54%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144.90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20.11%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94.25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101.37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7.55%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125.86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24.16%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86.36%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84.03%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86.86%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452.12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465.35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2.93%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485.80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4.39%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24.14%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25.92%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29.83%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20.46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-7.94%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资料来源:拉萨市财政决算、企业预警通,风控信评部整理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土地市场方面，【待补充:拉萨市土地出让与房地产销售数据（土地市场数据库未覆盖该市）】。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拉萨市地方政府债务余额分别为104.42亿元、137.56亿元、173.45亿元，2025年末债务限额186.45亿元，债务余额控制在限额以内；城投有息债务2025年末估算余额377.93亿元。债务率指标看，2025年末政府债务率104.72%、城投债务率228.18%、宽口径债务率332.90%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拉萨市财政基本盘较为扎实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