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日喀则市信用评级报告(区域部分)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日喀则作为西藏自治区下辖地级市，经济总量列西藏自治区第二位，人均GDP约6.23万元、人均经济实力在省内相对靠后，经济增速由10.20%回落至7.60%、有所放缓；固定资产投资最新增速10.10%，经济运行总体平稳。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日喀则市2023、2024、2025年地区生产总值分别为424.84亿元、464.30亿元、509.87亿元，同比增长10.20%、6.40%、7.60%。截至2025年末，全市常住人口82.10万人，人均GDP约6.23万元。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产业结构方面，2025年日喀则市三次产业结构为17.1:31.2:51.7，第三产业占主导、服务业是经济主体，农业基础较好。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2023、2024、2025年固定资产投资增速分别为52.80%、22.10%、10.10%，2025年社会消费品零售总额187.89亿元，进出口总额3.84亿美元。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图表：2025年西藏自治区各地级市主要经济指标对比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拉萨市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3.4:42.9:53.7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日喀则市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509.87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17.1:31.2:51.7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13.1:40.7:46.2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山南市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6.4:44.8:48.8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林芝市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6.98:35.89:57.13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阿里地区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那曲市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日喀则市2025年GDP总量509.87亿元、列全省第二位，一般公共预算收入27.20亿元、列全省第三位。整体来看，日喀则市经济基本面在西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日喀则市财政体量在西藏自治区位居前列，税收占比57.60%、税收占比处于一般水平，但政府性基金收入较2023年累计增长70%；2025年末宽口径债务率685.31%、处于偏高水平，已显著高于公认的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日喀则市一般公共预算收入分别为21.92亿元、24.38亿元、27.20亿元，其中税收收入12.34亿元、12.73亿元、15.67亿元，税收占比维持在56.30%、52.23%、57.60%；一般公共预算支出424.65亿元、450.21亿元、519.92亿元，财政自给率5.16%、5.41%、5.23%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政府性基金收入方面，2023、2024、2025年分别为2.16亿元、3.11亿元、3.67亿元，政府性基金收入较2023年累计增长70%，反映地方综合财力对房地产周期的敞口。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图表：2023-2025年日喀则市财政收入情况(单位:亿元、%)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23.10%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450.21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资料来源:日喀则市财政决算、企业预警通,风控信评部整理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土地市场方面，【待补充:日喀则市土地出让与房地产销售数据（土地市场数据库未覆盖该市）】。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日喀则市地方政府债务余额分别为100.32亿元、117.35亿元、150.85亿元，2025年末债务限额152.63亿元，债务余额控制在限额以内；城投有息债务2025年末估算余额60.70亿元。债务率指标看，2025年末政府债务率488.68%、城投债务率196.63%、宽口径债务率685.31%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日喀则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