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眉山市信用评级报告(区域部分)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眉山作为四川省下辖地级市，经济总量列四川省第11位，人均GDP约6.83万元、人均经济实力居全省中游，经济增速由6.20%回升至7.10%、动能边际改善；固定资产投资最新增速1.10%，经济运行总体平稳。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眉山市2023、2024、2025年地区生产总值分别为1,773.64亿元、1,880.10亿元、2,008.72亿元，同比增长6.20%、6.90%、7.10%。截至2025年末，全市常住人口292.20万人，人均GDP约6.83万元。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产业结构方面，2025年眉山市三次产业结构为11.8:39.6:48.6，第三产业占主导、服务业是经济主体。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2023、2024、2025年固定资产投资增速分别为10.80%、6.00%、1.10%，2025年社会消费品零售总额738.10亿元，进出口总额16.95亿美元。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眉山市2025年GDP总量2,008.72亿元、列全省第11位，一般公共预算收入164.47亿元、列全省第九位。整体来看，眉山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眉山市财政体量在四川省处于中游，税收占比45.04%、税收占比处于一般水平，但政府性基金收入较2023年累计下降36%、土地财政贡献度弱化；2025年末宽口径债务率757.69%、处于偏高水平，已显著高于公认的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眉山市一般公共预算收入分别为159.84亿元、160.65亿元、164.47亿元，其中税收收入84.06亿元、73.24亿元、74.08亿元，税收占比维持在52.59%、45.59%、45.04%；一般公共预算支出369.21亿元、351.86亿元、353.54亿元，财政自给率43.29%、45.66%、46.52%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政府性基金收入方面，2023、2024、2025年分别为243.64亿元、170.87亿元、155.45亿元，政府性基金收入较2023年累计下降36%、土地财政贡献度弱化，反映地方综合财力对房地产周期的敞口。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图表：2023-2025年眉山市财政收入情况(单位:亿元、%)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243.64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-29.87%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-9.02%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资料来源:眉山市财政决算、企业预警通,风控信评部整理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土地市场方面，【待补充:眉山市土地出让与房地产销售数据（土地市场数据库未覆盖该市）】。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眉山市地方政府债务余额分别为716.40亿元、844.60亿元、984.10亿元，2025年末债务限额1,040.50亿元，债务余额控制在限额以内；城投有息债务2025年末估算余额1,476.20亿元。债务率指标看，2025年末政府债务率303.07%、城投债务率454.62%、宽口径债务率757.69%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眉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