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自贡市信用评级报告(区域部分)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自贡作为四川省下辖地级市，经济总量列四川省第12位，人均GDP约8.32万元、人均经济实力居全省前列，经济增速由6.20%回升至6.90%、动能边际改善；固定资产投资最新增速6.00%，经济运行总体平稳。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自贡市2023、2024、2025年地区生产总值分别为1,764.36亿元、1,875.36亿元、2,003.66亿元，同比增长6.20%、7.00%、6.90%。截至2025年末，全市常住人口240.50万人，人均GDP约8.32万元。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产业结构方面，2025年自贡市三次产业结构为11.9:28.2:59.9，第三产业占主导、服务业是经济主体。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2023、2024、2025年固定资产投资增速分别为27.70%、7.50%、6.00%，2025年社会消费品零售总额818.03亿元，进出口总额9.55亿美元。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自贡市2025年GDP总量2,003.66亿元、列全省第12位，一般公共预算收入87.25亿元、列全省第16位。整体来看，自贡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自贡市财政体量在四川省处于中游，税收占比46.09%、税收占比处于一般水平，但政府性基金收入较2023年累计增长20%；2025年末宽口径债务率301.02%、处于偏高水平，已显著高于公认的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自贡市一般公共预算收入分别为81.38亿元、85.30亿元、87.25亿元，其中税收收入35.29亿元、34.47亿元、40.22亿元，税收占比维持在43.36%、40.41%、46.09%；一般公共预算支出297.67亿元、304.31亿元、317.57亿元，财政自给率27.34%、28.03%、27.47%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政府性基金收入方面，2023、2024、2025年分别为138.77亿元、136.59亿元、167.21亿元，政府性基金收入较2023年累计增长20%，反映地方综合财力对房地产周期的敞口。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图表：2023-2025年自贡市财政收入情况(单位:亿元、%)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136.59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资料来源:自贡市财政决算、企业预警通,风控信评部整理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土地市场方面，【待补充:自贡市土地出让与房地产销售数据（土地市场数据库未覆盖该市）】。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自贡市地方政府债务余额分别为737.60亿元、875.40亿元、1,015.80亿元，2025年末债务限额1,059.90亿元，债务余额控制在限额以内；城投有息债务2025年末估算余额739.90亿元。债务率指标看，2025年末政府债务率174.16%、城投债务率126.86%、宽口径债务率301.02%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自贡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