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达州市信用评级报告(区域部分)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达州作为四川省下辖地级市，经济总量列四川省第六位，人均GDP约5.68万元、人均经济实力在省内相对靠后，经济增速维持在6.30%左右、总体平稳；固定资产投资最新增速转负（-3.60%），经济动能仍有待修复。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达州市2023、2024、2025年地区生产总值分别为2,657.34亿元、2,821.30亿元、2,990.90亿元，同比增长6.50%、5.80%、6.30%。截至2025年末，全市常住人口523.00万人，人均GDP约5.68万元。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产业结构方面，2025年达州市三次产业结构为14.3:28.1:57.6，第三产业占主导、服务业是经济主体。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2023、2024、2025年固定资产投资增速分别为15.30%、6.20%、-3.60%，2025年社会消费品零售总额1,598.94亿元，进出口总额9.77亿美元。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图表：2025年四川省各地级市主要经济指标对比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成都市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24,763.60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2.2:27.9:69.9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2,000.71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2153.50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绵阳市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4,600.66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7.8:40:52.2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227.62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宜宾市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4,134.73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8.7:48.2:43.1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333.90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德阳市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3,387.10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8.2:49.5:42.3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210.32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342.00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泸州市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3,004.29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8.9:46.6:44.5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233.47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421.20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达州市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2,990.90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14.3:28.1:57.6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523.00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南充市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2,901.76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118.95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541.50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凉山彝族自治州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2,605.75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20.6:32.3:47.1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232.39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乐山市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2,501.54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10.7:38.7:50.6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172.16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内江市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2,050.66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13.4:34.4:52.2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93.43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眉山市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2,008.72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11.8:39.6:48.6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164.47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292.20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自贡市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2,003.66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11.9:28.2:59.9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87.25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240.50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遂宁市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2,002.14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10.6:42.9:46.5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106.84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274.70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1,700.87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13.7:28.2:58.1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109.01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攀枝花市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1,409.57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7.3:54.8:37.9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105.18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122.20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广元市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1,348.78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16.3:32.3:51.4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资阳市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1,150.81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5.24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18.8:28.3:52.9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73.65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219.50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雅安市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1,131.60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7.95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14.2:31.1:54.7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87.86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巴中市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916.64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21.6:19.1:59.3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75.41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257.80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甘孜藏族自治州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613.11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15.06:30.27:54.67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71.86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111.90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阿坝藏族羌族自治州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601.19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19.4:23.6:57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达州市2025年GDP总量2,990.90亿元、列全省第六位，一般公共预算收入200.33亿元、列全省第七位。整体来看，达州市经济基本面在四川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达州市财政体量在四川省处于中游，税收占比36.92%、税收占比处于一般水平，但政府性基金收入总体平稳；2025年末宽口径债务率215.81%、处于中等偏高水平，处于相对偏高区间，需关注债务扩张节奏。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达州市一般公共预算收入分别为182.66亿元、196.62亿元、200.33亿元，其中税收收入74.23亿元、74.89亿元、73.96亿元，税收占比维持在40.64%、38.09%、36.92%；一般公共预算支出551.38亿元、598.18亿元、600.88亿元，财政自给率33.13%、32.87%、33.34%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政府性基金收入方面，2023、2024、2025年分别为215.12亿元、199.75亿元、197.27亿元，政府性基金收入总体平稳，反映地方综合财力对房地产周期的敞口。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图表：2023-2025年达州市财政收入情况(单位:亿元、%)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182.66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21.72%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196.62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7.64%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200.33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1.89%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74.89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0.89%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73.96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-1.24%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40.64%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38.09%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36.92%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551.38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598.18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8.49%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600.88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0.45%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33.13%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32.87%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33.34%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215.12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199.75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-7.14%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197.27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-1.24%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资料来源:达州市财政决算、企业预警通,风控信评部整理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土地市场方面，【待补充:达州市土地出让与房地产销售数据（土地市场数据库未覆盖该市）】。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达州市地方政府债务余额分别为1,006.20亿元、1,207.70亿元、1,427.70亿元，2025年末债务限额1,499.00亿元，债务余额控制在限额以内；城投有息债务2025年末估算余额599.82亿元。债务率指标看，2025年末政府债务率151.97%、城投债务率63.85%、宽口径债务率215.81%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达州市财政基本盘总体稳健，但土地财政收缩与债务规模扩张是当前主要压力线；我们预计宽口径债务率短期内将维持中等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