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雅安市信用评级报告(区域部分)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雅安作为四川省下辖地级市，经济总量列四川省第18位，人均GDP约7.95万元、人均经济实力居全省中游，经济增速维持在5.70%左右、总体平稳；固定资产投资最新增速0.50%，经济运行总体平稳。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雅安市2023、2024、2025年地区生产总值分别为1,018.07亿元、1,084.02亿元、1,131.60亿元，同比增长5.80%、6.60%、5.70%。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产业结构方面，2025年雅安市三次产业结构为14.2:31.1:54.7，第三产业占主导、服务业是经济主体。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2023、2024、2025年固定资产投资增速分别为7.00%、1.00%、0.50%，2025年社会消费品零售总额347.06亿元，进出口总额4.84亿美元。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雅安市2025年GDP总量1,131.60亿元、列全省第18位，一般公共预算收入87.86亿元、列全省第15位。整体来看，雅安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雅安市财政体量在四川省处于中游，税收占比52.84%、税收占比处于一般水平，但政府性基金收入总体平稳；2025年末宽口径债务率187.25%、处于可控水平，整体处于可控水平。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雅安市一般公共预算收入分别为78.79亿元、84.03亿元、87.86亿元，其中税收收入44.80亿元、44.49亿元、46.43亿元，税收占比维持在56.86%、52.94%、52.84%；一般公共预算支出223.97亿元、261.91亿元、251.34亿元，财政自给率35.18%、32.08%、34.96%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政府性基金收入方面，2023、2024、2025年分别为39.22亿元、42.20亿元、37.92亿元，政府性基金收入总体平稳，反映地方综合财力对房地产周期的敞口。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图表：2023-2025年雅安市财政收入情况(单位:亿元、%)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-10.14%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资料来源:雅安市财政决算、企业预警通,风控信评部整理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土地市场方面，【待补充:雅安市土地出让与房地产销售数据（土地市场数据库未覆盖该市）】。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雅安市地方政府债务余额分别为367.30亿元、440.70亿元、517.60亿元，2025年末债务限额540.20亿元，债务余额控制在限额以内；城投有息债务2025年末估算余额116.40亿元。债务率指标看，2025年末政府债务率152.87%、城投债务率34.38%、宽口径债务率187.25%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雅安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