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中卫市信用评级报告(区域部分)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中卫作为宁夏回族自治区下辖地级市，经济总量列宁夏回族自治区第三位，人均GDP约5.84万元、人均经济实力在省内相对靠后，经济增速由7.00%回落至6.00%、有所放缓；固定资产投资最新增速26.90%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中卫市2023、2024、2025年地区生产总值分别为577.95亿元、603.49亿元、633.38亿元，同比增长7.00%、6.00%、6.00%。截至2025年末，全市常住人口108.93万人，人均GDP约5.84万元。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产业结构方面，2025年中卫市三次产业结构为14.9:30.5:54.6，第三产业占主导、服务业是经济主体。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2023、2024、2025年固定资产投资增速分别为-6.80%、17.00%、26.90%，2025年社会消费品零售总额152.46亿元，进出口总额3.44亿美元。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图表：2025年宁夏回族自治区各地级市主要经济指标对比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银川市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3,033.52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3.4:45.7:50.9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209.70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294.26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吴忠市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961.67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14.1:42:43.9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141.85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中卫市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633.38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14.9:30.5:54.6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108.93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石嘴山市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579.84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7.9:46.5:45.6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73.58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固原市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488.07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18.7:22.3:59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113.38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中卫市2025年GDP总量633.38亿元、列全省第三位，一般公共预算收入31.99亿元、列全省第三位。整体来看，中卫市经济基本面在宁夏回族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中卫市财政体量在宁夏回族自治区位居前列，税收占比83.87%、税收质量较好，但政府性基金收入较2023年累计增长25%；2025年末宽口径债务率687.43%、处于偏高水平，已显著高于公认的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中卫市一般公共预算收入分别为23.17亿元、25.38亿元、31.99亿元，其中税收收入14.32亿元、17.10亿元、26.83亿元，税收占比维持在61.79%、67.36%、83.87%；一般公共预算支出211.86亿元、202.49亿元、212.71亿元，财政自给率10.94%、12.53%、15.04%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政府性基金收入方面，2023、2024、2025年分别为8.24亿元、11.45亿元、10.32亿元，政府性基金收入较2023年累计增长25%，反映地方综合财力对房地产周期的敞口。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图表：2023-2025年中卫市财政收入情况(单位:亿元、%)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9.54%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26.04%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19.41%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56.90%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61.79%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67.36%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83.87%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211.86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-4.42%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212.71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10.94%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12.53%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15.04%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38.96%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-9.87%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资料来源:中卫市财政决算、企业预警通,风控信评部整理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土地市场方面，【待补充:中卫市土地出让与房地产销售数据（土地市场数据库未覆盖该市）】。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中卫市地方政府债务余额分别为205.63亿元、225.10亿元、266.63亿元，2025年末债务限额282.90亿元，债务余额控制在限额以内；城投有息债务2025年末估算余额24.32亿元。债务率指标看，2025年末政府债务率629.97%、城投债务率57.46%、宽口径债务率687.43%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中卫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